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4D4501"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686AE6">
        <w:rPr>
          <w:rFonts w:asciiTheme="minorEastAsia" w:eastAsiaTheme="minorEastAsia" w:hAnsiTheme="minorEastAsia" w:cs="Arial"/>
          <w:noProof/>
          <w:color w:val="FF0000"/>
          <w:sz w:val="24"/>
        </w:rPr>
        <w:t>2017年12月7日星期四</w:t>
      </w:r>
      <w:r w:rsidRPr="008628D3">
        <w:rPr>
          <w:rFonts w:asciiTheme="minorEastAsia" w:eastAsiaTheme="minorEastAsia" w:hAnsiTheme="minorEastAsia" w:cs="Arial"/>
          <w:color w:val="FF0000"/>
          <w:sz w:val="24"/>
        </w:rPr>
        <w:fldChar w:fldCharType="end"/>
      </w:r>
      <w:bookmarkStart w:id="0" w:name="_GoBack"/>
      <w:bookmarkEnd w:id="0"/>
    </w:p>
    <w:p w:rsidR="00686AE6" w:rsidRPr="00686AE6" w:rsidRDefault="00686AE6" w:rsidP="00686AE6">
      <w:pPr>
        <w:widowControl/>
        <w:jc w:val="left"/>
        <w:rPr>
          <w:rFonts w:ascii="宋体" w:hAnsi="宋体" w:cs="宋体" w:hint="eastAsia"/>
          <w:b/>
          <w:color w:val="FF0000"/>
          <w:kern w:val="0"/>
          <w:sz w:val="24"/>
        </w:rPr>
      </w:pPr>
      <w:r w:rsidRPr="00686AE6">
        <w:rPr>
          <w:rFonts w:ascii="宋体" w:hAnsi="宋体" w:cs="宋体"/>
          <w:b/>
          <w:color w:val="FF0000"/>
          <w:kern w:val="0"/>
          <w:sz w:val="24"/>
        </w:rPr>
        <w:t>钢材:</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夜盘螺纹钢期货主力合约价格小幅波动，rb1805合约成交较为活跃，尾盘减仓收于3917。宏观方面，截至10月底PPP项目已落地2438个；央行孙国峰：央行不能给予市场长期低利率预期，防止市场过度冒险倒逼央行；央行主管金融时报：预计12月份央行将开展两次MLF操作；央行：第三季度移动支付业务增长快，近50万亿；河北港口吞吐量首次突破１０亿吨；11月300城市土地市场量跌价涨，前11个月土地出让金同比增四成；北京超额完成今年各类保障性住房建设任务。行业方面，国资委：尽快确定5个独立工矿区综合改革试点工作方案；郑商所：硅铁、锰硅价格波动较大，提醒投资者谨慎运作；郑商所：硅铁1801合约交易保证金标准上调为14%，涨跌幅比例下调为8%；酒钢集团榆钢公司二期项目全面复产；河钢乐亭钢铁项目高炉将开工。现货方面，天津地区大螺主流报价4520元/吨左右，盘面贴水833；上海地区主流报价在4910-4930元/吨，盘面贴水1155；热卷方面，上海5.5-11.75*1500*C规格热轧板卷主流价格4240元/吨；天津5.5-11.75*1500*C规格热轧板卷主流价格4350元/吨。坯料方面，唐山地区钢坯价格稳至3920-3930元/吨。在钢价连续急涨后，现货市场成交明显转弱，恐高情绪随之增加，多数地区价格下跌，北方跌幅较大，近期需持续关注真实需求以及库存情况，由于盘面贴水率仍较高，短线操作难度加大，建议短暂观望，主力合约关注3900一线支撑。（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铁矿：</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夜盘铁矿主力合约价格延续弱势，I1805合约成交较为活跃，尾盘大幅减仓收于520.5。宏观方面，截至10月底PPP项目已落地2438个；央行孙国峰：央行不能给予市场长期低利率预期，防止市场过度冒险倒逼央行；央行主管金融时报：预计12月份央行将开展两次MLF操作；央行：第三季度移动支付业务增长快，近50万亿；河北港口吞吐量首次突破１０亿吨；11月300城市土地市场量跌价涨，前11个月土地出让金同比增四成；北京超额完成今年各类保障性住房建设任务。行业方面，国资委：尽快确定5个独立工矿区综合改革试点工作方案；郑商所：硅铁、锰硅价格波动较大，提醒投资者谨慎运作；郑商所：硅铁1801合约交易保证金标准上调为14%，涨跌幅比例下调为8%；酒钢集团榆钢公司二期项目全面复产；河钢乐亭钢铁项目高炉将开工。现货方面，目前迁安66%干基含税现金出厂655-665元/吨；枣庄65%干基含税出厂640元/吨；莱芜64%干基不含税承兑出厂585元/吨。进口矿方面，山东港口pb粉主流价格522元/吨左右。受成材端观望以及成交转弱影响，市场情绪降温，现货整体成交明显萎缩，受限产环保等影响北方地区疏港下降，钢厂补库减弱，主力合约延续减仓调整，资金情绪持续减弱，短线关注520一线支撑情况。（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焦煤焦炭：</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夜盘 JM1805合约减仓14412手收于1331元/吨；J1805合约减仓33900手收于2140.5元/吨。宏观方面，环保部：9家企业未严格落实重污染天气应急预案；河北港口吞吐量首次突破１０亿吨；央行主管金融时报：预计12月份央行将开展两次MLF操作；央行孙国峰：央行不能给予市场长期低利率预期 防止市场过度冒险倒逼央行。行业方面，河钢乐亭钢铁项目高炉将开工；中国（太原）煤炭交易中心启动能源大数据平台；山西省政府日前下发《山西省防范化解煤电产能过剩风险工作</w:t>
      </w:r>
      <w:r w:rsidRPr="00686AE6">
        <w:rPr>
          <w:rFonts w:ascii="宋体" w:hAnsi="宋体" w:cs="宋体"/>
          <w:kern w:val="0"/>
          <w:sz w:val="24"/>
        </w:rPr>
        <w:lastRenderedPageBreak/>
        <w:t>方案》，明确提出将实施差别化金融政策，“十三五”期间原则上不再新增煤电规划建设规模；武汉混凝土协会请求政府干预水泥等建材价格暴涨乱象。辽宁抚顺地区钢厂焦炭采购价上涨100元/吨，执行二级焦A&lt;13.5报1945元/吨，三级焦A&lt;16报1837元/吨，均到厂含税价，今日执行。昆钢焦炭采购价上调100元/吨，现品级焦A14.5，S0.6干基到厂含税价2265元/吨，1日起执行。山东临沂地区焦炭价格上涨100元/吨，现二级A13，S0.8报1900-1950元/吨，出厂含税价。河南济源焦价上调100元/吨，准一焦A13，S0.7，CSR60出厂含税报1850-1900元/吨，5日起执行且有再次提涨预期。河南洛阳地区焦价上调50元/吨，二级焦A&lt;13，S&lt;0.7 出厂含税报1950元/吨，焦企限产严重出货较少。河南许昌地区焦价统一上调150元/吨，涨后准一级焦报2100元/吨；一级焦报2150元/吨，均车板含税出厂价，5日起执行。昨日河南、内蒙等地继续上调焦炭价格，贸易商接货积极，华东钢厂环保限产影响相对较小、补库较积极，叠加部分地区焦煤开始小幅上涨、成本端支撑加强，焦炭现货短期仍偏强趋势，关注焦企利润快速修复后是否有供给释放形成压力。（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橡胶：</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期货大幅走低，青岛保税区美元胶市场报价下跌20-50美元/吨，交投一般。马标现货或港上船货报价1460-1480美元/吨，泰标船货报价1480美元/吨，混合升水标胶+40美元报价1520美元/吨。人民币混合报价11600元/吨。华北丁苯1502报价13200元/吨，华北丁苯1712报价11400元/吨，燕山石化顺丁报价11820元/吨，华东丁二烯报价9400元/吨。日胶窄幅震荡，JRU05合约报收204.8点，下跌-0.4点或-0.19%。沪胶小幅上扬，主力1805合约报收14375点，上涨+10点或+0.07%。</w:t>
      </w:r>
      <w:r w:rsidRPr="00686AE6">
        <w:rPr>
          <w:rFonts w:ascii="宋体" w:hAnsi="宋体" w:cs="宋体"/>
          <w:kern w:val="0"/>
          <w:sz w:val="24"/>
        </w:rPr>
        <w:br/>
        <w:t>10月，韩国合成橡胶产量同比增长+19.6%至14.9万吨，出货量同比增长+5.7%至14万吨。韩国合成橡胶产、销量同比均有增长。喜中带忧的是，环比都有下滑。产量同比降-4%，出货量同比跌-7.8%。由于出货量弱于产量，导致库存转升，较上月增加+10.9%。1月至10月，韩国合成橡胶产量同比增长+12%，出货量同比增长+9.1%。</w:t>
      </w:r>
      <w:r w:rsidRPr="00686AE6">
        <w:rPr>
          <w:rFonts w:ascii="宋体" w:hAnsi="宋体" w:cs="宋体"/>
          <w:kern w:val="0"/>
          <w:sz w:val="24"/>
        </w:rPr>
        <w:br/>
        <w:t>上游主产地区出斯里兰卡有强降雨外，其余地区气候正常。近期期现价差较为平稳。青岛保税区标胶、混合双双累库。上期所库存增速放缓。日胶在12月底前申请交割的数量为1700余吨，累库压力放缓。下游大中型轮胎企业开工保持高位，未上调价格的品牌出货量增加，整体成品库存保持稳定。操作上，昨晚沪胶小幅上扬，在目前点位有一定均线支撑。有条件的多单可在现货端卖出混合以对冲风险。05合约下方多单止损位，可放在前期低点14025点附近。（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镍：</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隔夜LME镍收于10830，跌70，跌幅0.69%；库存378432，增1788，其中镍板库存继续下降，当前LME镍库存已到79770，库存结构占比21.08%。镍价弱势震荡，内盘跌势趋缓，进口窗口连续打开，且进口利润有所放大。据悉，印尼国有矿商安塔姆公司（Antam）计划邀战略伙伴合作，共同兴建不锈钢厂。该公司正在探讨与中国、台湾、欧洲或日本的企业合作。当前镍产业链各环节整体表现得较弱，镍矿弱势维稳、NPI报价连续下调、进口镍铁较镍板贴水幅度较大、镍板现货升水平稳、不锈钢成交平淡。就镍的基本面而言，镍需求总量仍在高位，国内的高镍铁产量亦在高位，而国内部分主流钢厂对废不锈钢进行连续补充，导致镍的需求结构发生了变化，因此，原生镍的供需整体表现为“供应增长、需求下降”，基本面的弱势对镍价走势形成的倒逼已经在盘面显现。国内叠加印尼的300系不锈钢的增量都将通过四季度去消化，而钢厂端的垒库已经显现，不锈钢市场端的库存却仍在低位，则接下来影响镍的核心矛盾将在于不锈钢市场库存的变化。钢厂是通过抛售还是提价的方式去完成去库存将产生两种截然相反的结果，近期不锈钢市场低库存激发市场挺价的意</w:t>
      </w:r>
      <w:r w:rsidRPr="00686AE6">
        <w:rPr>
          <w:rFonts w:ascii="宋体" w:hAnsi="宋体" w:cs="宋体"/>
          <w:kern w:val="0"/>
          <w:sz w:val="24"/>
        </w:rPr>
        <w:lastRenderedPageBreak/>
        <w:t>愿较为明显，但主流钢厂在现货指导价及盘价方面仍未有明确的态度，操作上短期宜观望。（仅供参考）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宏观：周四（12月7日）</w:t>
      </w:r>
      <w:r w:rsidRPr="00686AE6">
        <w:rPr>
          <w:rFonts w:ascii="宋体" w:hAnsi="宋体" w:cs="宋体"/>
          <w:kern w:val="0"/>
          <w:sz w:val="24"/>
        </w:rPr>
        <w:br/>
        <w:t>美国股市：美股基本持平，科技股走高，油价下跌拖累能源股下滑。标普500指数持平，报2629.27点。特朗普承认耶路撒冷是以色列的首都，并宣布将开始搬迁美国驻以色列大使馆。世界多国领导人警告称此举将破坏和平努力并引发冲突，联合国秘书长古特雷斯抵制危及和平的单方面行动，称耶路撒冷的未来需要通过对话来解决。避险资产小幅上扬或与此有关，美元指数上扬趋势依旧，我们依然预计美元指数短期内上方仍有空间。</w:t>
      </w:r>
      <w:r w:rsidRPr="00686AE6">
        <w:rPr>
          <w:rFonts w:ascii="宋体" w:hAnsi="宋体" w:cs="宋体"/>
          <w:kern w:val="0"/>
          <w:sz w:val="24"/>
        </w:rPr>
        <w:br/>
        <w:t>欧洲方面，英国内阁后院起火，对于脱欧中的爱尔兰边界问题出现分歧，英镑受此影响出现下挫。</w:t>
      </w:r>
      <w:r w:rsidRPr="00686AE6">
        <w:rPr>
          <w:rFonts w:ascii="宋体" w:hAnsi="宋体" w:cs="宋体"/>
          <w:kern w:val="0"/>
          <w:sz w:val="24"/>
        </w:rPr>
        <w:br/>
        <w:t>国内方面，央行金融研究所所长孙国峰表示，央行不能给予市场长期低利率预期，央行的货币政策应当抑制银行的冒险行为，防止市场通过过度的冒险行为倒逼央行，同时给出了央行跟随美联储加息的理由，加息预期升温。不过有市场参与者其与昨日央行未提前一次性续作MLF联系起来，我们觉得就有牵强附会的嫌疑了，此次分次续作MLF在财政存款重新投放、逆回购收缩多余基础货币对背景下进行，本身更多基于当前流动性总量处于较高水平。不过，虽然债券市场依然处于触底反弹的亢奋中，未对孙所长的发言有过度反应，同时超过八成受访者预计中国央行年底前不会上调公开市场逆回购利率，但制约债券市场大幅走强的因素又多了一条。</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甲醇：</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甲醇主力合约MA1801夜盘冲高回落，收于3186元/吨，较前日结算价格下跌0.62%，持仓下降1.8万手至46万手；现货方面：近期港口市场货源仍较紧张，昨日江苏太仓现货报盘3550-3580元/吨，期货贴水现货目前依然较大；山东南部地区甲醇市场窄幅上行，工厂报价3220-3260元/吨，目前当地传统下游开工负荷稳中有降，整体采购维持刚需，成交偏淡；内蒙古地区稳定，北线地区报价2830-2870元/吨。现货价格情况来看，由于往港口物流窗口开启，内地出货走好，价格上涨，港口方面，可贸易库存较低，叠加期货合约贴水现货大，而市场资金方面，01合约面临移仓，目前持仓较大，加大了贴水大的矛盾。目前沿海地区甲醇库存处于偏低的水平，随着港口走强，港口-内地物流窗口开启，预计后续内地到货有所增加，外盘结合装置运行情况和全球价差情况来看后续进口也将增加，港口库存后续回升概率较大，但是供应方面，焦炉气制甲醇、天然气制甲醇的供应受到抑制，而近期LNG价格大幅上涨，市场对于天然气的涨价对冬季醇基燃料需求的提升较为乐观，整体来看，供需走弱但是12月份累库存的量不会很大，因此01合约的大幅贴水和持仓成为市场主要矛盾，近端上涨的同时带动了现货和05合约上涨，中期来看，基于下游MTO现金流亏损角度，后期更多装置停车降负荷可能性加大（目前已有发生），会逐步导致供需关系的扭转，因此中期建议逢高试空05合约或者做多05MTP利润，但是短时市场走势预计偏强，01合约的矛盾目前看还没有缓解，建议偏谨慎对待，一般近端的矛盾缓解需要内地出现交割利润或者港口-内地价差持续拉开一段时间（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PVC：</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期货方面：周三PVC期货价格上涨。其中，主力合约v1801开盘6310元，收盘 6495元，持仓量61260手，日减仓7142手；主力合约v1805开盘6425元，收盘 6645元，持仓252536手，增仓25662手。技术上，pvc主力合约v1805合约增仓上涨，下方受6400元一线支撑，期价呈高位震荡走势。现货方面：国内PVC市场气氛尚可，期货市场继续震荡上行，支撑市场参与者心态，贸易商</w:t>
      </w:r>
      <w:r w:rsidRPr="00686AE6">
        <w:rPr>
          <w:rFonts w:ascii="宋体" w:hAnsi="宋体" w:cs="宋体"/>
          <w:kern w:val="0"/>
          <w:sz w:val="24"/>
        </w:rPr>
        <w:lastRenderedPageBreak/>
        <w:t>报价小幅上调，实单取消优惠，价格重心整体上移。5型普通电石料，华东市场主流自提6280-6370元/吨，华南地区6250-6300元/吨自提；山东主流6120-6220元/吨送到，河北市场主流6020-6120元/吨送到。</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棉花、棉纱：</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2017年12月6日关于印度棉花虫害引发减产的消息支撑市场，ICE期货本年度合约小幅收涨，3月合约72.8美分涨29点，5月合约73.5美分涨23点；成交量18496手。</w:t>
      </w:r>
      <w:r w:rsidRPr="00686AE6">
        <w:rPr>
          <w:rFonts w:ascii="宋体" w:hAnsi="宋体" w:cs="宋体"/>
          <w:kern w:val="0"/>
          <w:sz w:val="24"/>
        </w:rPr>
        <w:br/>
        <w:t>夜盘郑棉1月15140跌15,5月15385跌25,9月15705跌25；郑棉纱无成交。2017年12月6日注册仓单1317（+23），有效预报1052（+322）=2369（折现货9.5万吨），其中17年度新仓单808张，地产棉75张，新疆棉733张；内地库252张，新疆库556张。卖保持仓16799（+5049）。根据i棉网数据显示截止12月5日24时全国累计加工390万吨，其中新疆累计加工皮棉382万吨，其中地方企业加工253万吨，兵团加工128万吨；内地累计加工8万吨。皮棉检验343万吨，新疆335万吨，内地检验7.9万吨。11月新疆棉出疆44.81万吨，较上月增加17.36万吨，较去年同期增加9.06万吨；运费虽略有上涨但涨幅不大，低于去年水平。ICE上涨、印度新棉遭遇虫害又遇暴雨、巴基斯坦大量签约美棉，外棉价格上涨，国内棉价承压下行，内外棉价差止升回落，对内压力缓解。随着发行还款时间临近，疆棉销售压力日增，轧花厂挺价意愿不强，报价下调，但成交依然有限，北疆因其成本优势销售进度略快于南疆。纺织企业仍不急于采购，零星采购普遍挑货压价，买方市场特征明显，纺织厂占据主动，皮棉价格压力大。随着郑棉反弹，卖保持仓迅速增加，有效预报增长迅速，仓单注册量逐步上升，注意上方卖方压力。（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LL&amp;PP </w:t>
      </w:r>
      <w:r>
        <w:rPr>
          <w:rFonts w:ascii="宋体" w:hAnsi="宋体" w:cs="宋体"/>
          <w:kern w:val="0"/>
          <w:sz w:val="24"/>
        </w:rPr>
        <w:br/>
      </w:r>
      <w:r w:rsidRPr="00686AE6">
        <w:rPr>
          <w:rFonts w:ascii="宋体" w:hAnsi="宋体" w:cs="宋体"/>
          <w:kern w:val="0"/>
          <w:sz w:val="24"/>
        </w:rPr>
        <w:t>昨日夜盘化工板块高开下行，日盘LL&amp;PP低开偏弱震荡， L1805收于9510，较上个交易日收盘价下跌10元/吨，跌幅0.11%,PP1805收于9139，较上个交易日收盘价上涨2元/吨，涨幅0.02%。</w:t>
      </w:r>
      <w:r>
        <w:rPr>
          <w:rFonts w:ascii="宋体" w:hAnsi="宋体" w:cs="宋体"/>
          <w:kern w:val="0"/>
          <w:sz w:val="24"/>
        </w:rPr>
        <w:br/>
      </w:r>
      <w:r w:rsidRPr="00686AE6">
        <w:rPr>
          <w:rFonts w:ascii="宋体" w:hAnsi="宋体" w:cs="宋体"/>
          <w:kern w:val="0"/>
          <w:sz w:val="24"/>
        </w:rPr>
        <w:t>国内现货方面，两油线性出厂价格稳定，PP华南等大区出厂价格调涨100-150元/吨，市场整体弱势整理，成交气氛弱，LLDPE华北地区煤化工主流价格9600-9650元/吨，华东地区煤化工主流价格9700-9800元/吨，华东地区PP拉丝煤化工主流价格9100元/吨。</w:t>
      </w:r>
      <w:r w:rsidRPr="00686AE6">
        <w:rPr>
          <w:rFonts w:ascii="宋体" w:hAnsi="宋体" w:cs="宋体"/>
          <w:kern w:val="0"/>
          <w:sz w:val="24"/>
        </w:rPr>
        <w:br/>
        <w:t>供应方面PE上游维持稳定，PP方面绍兴三圆老线临时停车，大唐多伦一线正常开车，聚烯烃上游装置开工率整体维持高位，检修装置依然较少。新装置方面云天化和青海盐湖开车成功，神华宁煤煤制油项目烯烃单元开车不顺，单体不符合聚合条件，聚合装置尚未开车。目前,聚烯烃近端在社会库存偏低、可流通货源不多、需求旺季以及MTO、MTP装置利润修复的预期下给予下方更多的安全边际，PE&amp;PP上方压力分别来自美国新装置投产和国内新新产能集中释放。短期LL&amp;PP维持区间震荡。（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每日早盘观察-农产品-20171207</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https://www.yhqh.com.cn/yhty/nongchanpin/103845.html </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国债：</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周四（12月7日），行情走势回顾：周三国债期货高开低走，早盘震荡午盘强势，主力合约TF1803收于96.535，上涨0.04%，成交量明显下跌，持仓量明显减少。央行公开市场操作：央行周三进行1年期MLF操作，规模1880亿元，利率持平于3.2%，无逆回购操作，银行间回购利率普涨，Shibor利率短跌长涨。宏观基本面消息：（1）央行主管金融时报：预计央行会在本月中旬再开展MLF操</w:t>
      </w:r>
      <w:r w:rsidRPr="00686AE6">
        <w:rPr>
          <w:rFonts w:ascii="宋体" w:hAnsi="宋体" w:cs="宋体"/>
          <w:kern w:val="0"/>
          <w:sz w:val="24"/>
        </w:rPr>
        <w:lastRenderedPageBreak/>
        <w:t>作，可能改用28天期逆回购品种供应跨年资金；普惠金融降准估算将释放长期流动性3000亿，加上年末财政可能支出超1万亿，跨年跨春节流动性供应有保障。（2）央行金融研究所所长孙国峰表示，央行不能给予市场长期低利率预期，央行的货币政策应当抑制银行的冒险行为，防止市场通过过度的冒险行为倒逼央行。行情走势预期：央行周三进行1年期MLF操作，规模1880亿元，利率持平于3.2%，无逆回购操作。当日有2400亿逆回购及1880亿MLF到期，此外12月16日还有1870亿MLF到期。央行金融研究所所长孙国峰表示，央行不能给予市场长期低利率预期，央行的货币政策应当抑制银行的冒险行为，防止市场通过过度的冒险行为倒逼央行，同时给出了央行跟随美联储加息的理由，加息预期升温。不过有市场参与者其与昨日央行未提前一次性续作MLF联系起来，我们觉得就有牵强附会的嫌疑了，此次分次续作MLF在财政存款重新投放、逆回购收缩多余基础货币对背景下进行，本身更多基于当前流动性总量处于较高水平。不过，虽然债券市场依然处于触底反弹的亢奋中，未对孙所长的发言有过度反应，同时超过八成受访者预计中国央行年底前不会上调公开市场逆回购利率，但制约债券市场大幅走强的因素又多了一条。从目前的市场风险来看，由于监管细则依然有待明确、委外业务清理存在缓冲期以及市场也在等着看银行理财最终会向哪个方向演变，特别是由于前期市场的跌幅中已经提前反映了相当程度的利空，市场目前已经找不到债券市场价格的锚在哪个位置，因此目前依然不能确定市场是不是真正完全理解了而且消化了资管新规带来的影响，因此目前不管多空风险都不小。从目前的市场收益来看，市场对于四季度的资金成本预期高出了三季度一大截，叠加央行三季度货币政策报告关于打压“滚隔夜”等期限错配交易策略，对于资金成本的忧虑导致四季度债市上方空间有限，抄底收益也有限。综合来看，目前依然不建议在债券市场进行操作，先让市场找到债券市场的价格之锚比较重要。详情请参见12月份国债期货月报。 </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铜：</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伦铜震荡走势,收6550.5美元/吨，涨19美元/吨，涨幅0.29%，增仓3533手至33万手。宏观方面，特朗普承认耶路撒冷是以色列的首都，并宣布将开始搬迁美国驻以色列大使馆。世界多国领导人警告称此举将破坏和平努力并引发冲突，联合国秘书长古特雷斯抵制危及和平的单方面行动，称耶路撒冷的未来需要通过对话来解决。避险资产小幅上扬或与此有关，美元指数上扬趋势依旧，我们依然预计美元指数短期内上方仍有空间。英国内阁后院起火，对于脱欧中的爱尔兰边界问题出现分歧，英镑受此影响出现下挫。产业方面，12月6日，海亮集团铜材西南生产基地项目正式签约入驻江津珞璜工业园。据悉，该项目总投资30亿元，占地230亩，建设年产空调制冷用铜管9万吨、年产铜排6万吨的铜材制造项目（规划制冷用铜管生产线3条，每条产能3万吨；6万吨铜排及深加工），同时通过在西南地区的并购，整合打造铜材西南生产基地，并在江津综保区内注册成立外贸公司。年底为创空气优良天数达标，继京津冀地区废铜制杆企业限产后，本周河南地区废铜制杆企业亦限产50%，遇预警天气断电停产。今日现货方面，现货方面观望者较多，如果价格持稳，下游补库必将增加。预计今日平水~升水60元/吨.盘面上预计今日铜价低位整固后反弹，建议逢低买入（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动力煤：</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周四郑煤期货夜盘横盘震荡。ZC801开盘673.6元，收盘674.2元，收盘价下跌1.6元，盘中最高点675.6元，最低点671.6元；持仓300108手，减仓6554手，交易量34334手。现货市场：目前5500大卡煤需求放缓，采购意愿略有减弱，主流价格保持在690到695之间，从之前持续探涨进入到了暂时的稳定期。有传言港口对进口煤额度限制有所放松，部分贸易商考虑到后期进口煤提前</w:t>
      </w:r>
      <w:r w:rsidRPr="00686AE6">
        <w:rPr>
          <w:rFonts w:ascii="宋体" w:hAnsi="宋体" w:cs="宋体"/>
          <w:kern w:val="0"/>
          <w:sz w:val="24"/>
        </w:rPr>
        <w:lastRenderedPageBreak/>
        <w:t>通关，可能会对国内煤价格产生冲击。</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铝：</w:t>
      </w:r>
    </w:p>
    <w:p w:rsidR="00686AE6" w:rsidRDefault="00686AE6" w:rsidP="00686AE6">
      <w:pPr>
        <w:widowControl/>
        <w:jc w:val="left"/>
        <w:rPr>
          <w:rFonts w:ascii="宋体" w:hAnsi="宋体" w:cs="宋体" w:hint="eastAsia"/>
          <w:kern w:val="0"/>
          <w:sz w:val="24"/>
        </w:rPr>
      </w:pPr>
      <w:r w:rsidRPr="00686AE6">
        <w:rPr>
          <w:rFonts w:ascii="宋体" w:hAnsi="宋体" w:cs="宋体"/>
          <w:kern w:val="0"/>
          <w:sz w:val="24"/>
        </w:rPr>
        <w:t>隔夜沪铝继续下跌，沪铝1802收于14265，总持仓小幅增至86.2万手，带动LME铝走弱，收于2023美元。现货市场回顾，昨日上海成交集中14000-140200元/吨，对当月贴水140-120元/吨，无锡成交集中14000-14020元/吨，杭州成交集中14000-14050元/吨。现货贴水收窄，套保持货商出货积极，期铝再成下压之势，中间商谨慎接货，下游企业按需采购，整体成交未见因价格跳水而接货积极现象。行业方面，美国商务部近日宣布，将对经由越南出口至美国的原产地为中国的钢材制品征收反倾销和反补贴税；SMM报道，在美国发起针对中国普通合金铝板的反倾销调查之后，相关企业所在地市级地方政府积极牵头协助企业应诉。美国商务部连续对中国出口的铝材产品发动发倾销调查并征收反补贴税，钢材甚至蔓延至越南，而铝材同样有从越南转出口的情况，贸易摩擦加剧或使得铝材出口明显受到抑制。而国内持续表现低迷的消费端，使得铝锭库存居高不下，铝价整体继续承压。操作上来说，沪铝延续下行通道，或进一步下探寻底，短期保持空头思维。（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锌铅：</w:t>
      </w:r>
    </w:p>
    <w:p w:rsidR="00D74EA4" w:rsidRPr="00D74EA4" w:rsidRDefault="00686AE6" w:rsidP="00D74EA4">
      <w:pPr>
        <w:widowControl/>
        <w:jc w:val="left"/>
        <w:rPr>
          <w:rFonts w:ascii="宋体" w:hAnsi="宋体" w:cs="宋体"/>
          <w:kern w:val="0"/>
          <w:sz w:val="24"/>
        </w:rPr>
      </w:pPr>
      <w:r w:rsidRPr="00686AE6">
        <w:rPr>
          <w:rFonts w:ascii="宋体" w:hAnsi="宋体" w:cs="宋体"/>
          <w:kern w:val="0"/>
          <w:sz w:val="24"/>
        </w:rPr>
        <w:t>隔夜LME锌铅窄幅震荡，LME锌小跌收于3090美元，LME铅小涨收于2510美元；夜盘沪锌跟随震荡偏弱，沪铅止跌后小幅走强。宏观市场，昨日公布美国11月ADP就业人数符合预期，较前值增加19万，其中制造业新增就业创历史新高；特朗普称政府关门本周六“可能发生。” 这等于承认美国政府关门危机可能迫在眉睫，隔夜美元指数小幅反弹。行业方面，近日，山东省济宁、德州、聊城、临沂、菏泽、济南等市发布重污染天气黄色预警，东营和莱芜发布重污染天气蓝色预警，各地陆续启动重污染天气应急响应措施，部分蓄电池企业已进入减停产状态。目前锌锭紧缺在持续，现货升水也在逐步抬升，因此锌价表现抗跌；不过考虑到包括镀锌、铅酸蓄电池企业持续受到环保冲击，消费端疲软下，锌铅价格同样很难有很好的表现。操作上来说，沪锌后继续考验2.45万一线支撑，沪铅维持窄幅震荡，反弹空间不会太大。（仅供参考）</w:t>
      </w:r>
      <w:r w:rsidRPr="00686AE6">
        <w:rPr>
          <w:rFonts w:ascii="宋体" w:hAnsi="宋体" w:cs="宋体"/>
          <w:kern w:val="0"/>
          <w:sz w:val="24"/>
        </w:rPr>
        <w:br/>
      </w:r>
      <w:r w:rsidRPr="00686AE6">
        <w:rPr>
          <w:rFonts w:ascii="宋体" w:hAnsi="宋体" w:cs="宋体"/>
          <w:kern w:val="0"/>
          <w:sz w:val="24"/>
        </w:rPr>
        <w:br/>
      </w:r>
      <w:r w:rsidRPr="00686AE6">
        <w:rPr>
          <w:rFonts w:ascii="宋体" w:hAnsi="宋体" w:cs="宋体"/>
          <w:b/>
          <w:color w:val="FF0000"/>
          <w:kern w:val="0"/>
          <w:sz w:val="24"/>
        </w:rPr>
        <w:t>【贵金属】12月7日 周四</w:t>
      </w:r>
      <w:r w:rsidRPr="00686AE6">
        <w:rPr>
          <w:rFonts w:ascii="宋体" w:hAnsi="宋体" w:cs="宋体"/>
          <w:kern w:val="0"/>
          <w:sz w:val="24"/>
        </w:rPr>
        <w:br/>
        <w:t>昨日，受“小非农”与加拿大央行的影响，美国股市再创新高，美元指数上行，令金银承压较大，伦敦银跌出7月17日以来的新低，黄金也持续下行。 </w:t>
      </w:r>
      <w:r w:rsidRPr="00686AE6">
        <w:rPr>
          <w:rFonts w:ascii="宋体" w:hAnsi="宋体" w:cs="宋体"/>
          <w:kern w:val="0"/>
          <w:sz w:val="24"/>
        </w:rPr>
        <w:br/>
        <w:t>近期支撑金银的因素不多，其中“通俄门”和特朗普近期承认耶路撒冷是以色列的首都的消息推升了市场避险情绪，给金银提供一定的支撑。“通俄门”最新消息称，在特别检察官穆勒的要求下，德意志银行已开始将其与特朗普之间的业务信息提交给美国调查人员，此举标志着穆勒的调查可能超越特朗普竞选阵营与俄罗斯之间联系的范畴，将更为深入的调查特朗普以往所有的经济往来。</w:t>
      </w:r>
      <w:r w:rsidRPr="00686AE6">
        <w:rPr>
          <w:rFonts w:ascii="宋体" w:hAnsi="宋体" w:cs="宋体"/>
          <w:kern w:val="0"/>
          <w:sz w:val="24"/>
        </w:rPr>
        <w:br/>
        <w:t>数据面上，昨日公布的“小非农”美国11月ADP就业人数增加19万，高于预期，但不及前值。其中制造业新增就业人数创出新高，暗示就业市场依然强劲。数据公布后，美元指数震荡上行，金银则承压下行。</w:t>
      </w:r>
      <w:r w:rsidRPr="00686AE6">
        <w:rPr>
          <w:rFonts w:ascii="宋体" w:hAnsi="宋体" w:cs="宋体"/>
          <w:kern w:val="0"/>
          <w:sz w:val="24"/>
        </w:rPr>
        <w:br/>
        <w:t>需求方面，昨日世界黄金协会公布消息称，11月全球黄金ETF的黄金持有量增加9.1吨至2357吨，这些净流入则全部来自欧洲。此外，据消息称，11月印度仅进口了55吨黄金，比去年下降了近一半，由于印度政策等原因，预计今年印度黄金需求较为疲软，黄金需求量甚至可能跌至8年来最低水平。</w:t>
      </w:r>
      <w:r w:rsidRPr="00686AE6">
        <w:rPr>
          <w:rFonts w:ascii="宋体" w:hAnsi="宋体" w:cs="宋体"/>
          <w:kern w:val="0"/>
          <w:sz w:val="24"/>
        </w:rPr>
        <w:br/>
        <w:t>税改方面，对于税改政策依然摇摆不定，虽然参议院刚通过税改法案，但有人提出废除替代性最低税（AMT）。虽然美国税改近期将有利于美国公司的发展，但有反对声音认为，美国税改的最终胜</w:t>
      </w:r>
      <w:r w:rsidRPr="00686AE6">
        <w:rPr>
          <w:rFonts w:ascii="宋体" w:hAnsi="宋体" w:cs="宋体"/>
          <w:kern w:val="0"/>
          <w:sz w:val="24"/>
        </w:rPr>
        <w:lastRenderedPageBreak/>
        <w:t>利或将致使美国在2019年面临新一轮经济危机。</w:t>
      </w:r>
      <w:r w:rsidRPr="00686AE6">
        <w:rPr>
          <w:rFonts w:ascii="宋体" w:hAnsi="宋体" w:cs="宋体"/>
          <w:kern w:val="0"/>
          <w:sz w:val="24"/>
        </w:rPr>
        <w:br/>
        <w:t>此外，据美联社等美国媒体昨日报道，当天有记者提到关于政府关门可能性问题时，特朗普回答称，本周六“可能关门”。报道传出后，美元指数回吐日内部分涨幅。据白宫最新声明，特朗普将签署众议院通过的持续运作决议议案，该议案将期限延长至12月22日，而此次参议院民主党的态度将是保持政府运作的关键因素。</w:t>
      </w:r>
      <w:r w:rsidRPr="00686AE6">
        <w:rPr>
          <w:rFonts w:ascii="宋体" w:hAnsi="宋体" w:cs="宋体"/>
          <w:kern w:val="0"/>
          <w:sz w:val="24"/>
        </w:rPr>
        <w:br/>
        <w:t>持仓方面，SPDR黄金ETF持仓与昨日持平，为845.47吨；SLV白银ETF持仓截止至12月5日，较上一交易日增加82.12吨，至10006.4吨。分析认为白银ETF持仓增加的原因或是由于白银下跌幅度较大，因此，吸引长线看多的投资者入场。</w:t>
      </w:r>
      <w:r w:rsidRPr="00686AE6">
        <w:rPr>
          <w:rFonts w:ascii="宋体" w:hAnsi="宋体" w:cs="宋体"/>
          <w:kern w:val="0"/>
          <w:sz w:val="24"/>
        </w:rPr>
        <w:br/>
        <w:t>今日将公布美国当周初请失业金人数，若数据没有较大变动的话，预计对行情整体走势影响不大，目前市场或将静待周五非农数据的公布，因此今日若没有重大突发事件的话，预计在支撑位附近盘整概率较大，注意下方支撑。（仅供参考）</w:t>
      </w:r>
    </w:p>
    <w:p w:rsidR="0093507D" w:rsidRPr="0093507D" w:rsidRDefault="0093507D" w:rsidP="004E54FD">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F9" w:rsidRDefault="002B0EF9">
      <w:r>
        <w:separator/>
      </w:r>
    </w:p>
  </w:endnote>
  <w:endnote w:type="continuationSeparator" w:id="1">
    <w:p w:rsidR="002B0EF9" w:rsidRDefault="002B0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4D4501">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4D4501">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686AE6">
      <w:rPr>
        <w:rStyle w:val="a3"/>
        <w:noProof/>
      </w:rPr>
      <w:t>7</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F9" w:rsidRDefault="002B0EF9">
      <w:r>
        <w:separator/>
      </w:r>
    </w:p>
  </w:footnote>
  <w:footnote w:type="continuationSeparator" w:id="1">
    <w:p w:rsidR="002B0EF9" w:rsidRDefault="002B0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219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42D6"/>
    <w:rsid w:val="000B5979"/>
    <w:rsid w:val="000B67F8"/>
    <w:rsid w:val="000B78EC"/>
    <w:rsid w:val="000B7E19"/>
    <w:rsid w:val="000C1FAA"/>
    <w:rsid w:val="000C420F"/>
    <w:rsid w:val="000C55BA"/>
    <w:rsid w:val="000C5F34"/>
    <w:rsid w:val="000C7FCC"/>
    <w:rsid w:val="000D08BD"/>
    <w:rsid w:val="000D1F64"/>
    <w:rsid w:val="000D419A"/>
    <w:rsid w:val="000D4939"/>
    <w:rsid w:val="000D5E79"/>
    <w:rsid w:val="000D7624"/>
    <w:rsid w:val="000E0096"/>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0E36"/>
    <w:rsid w:val="001123E2"/>
    <w:rsid w:val="001127EF"/>
    <w:rsid w:val="00113E67"/>
    <w:rsid w:val="00114034"/>
    <w:rsid w:val="00114AA0"/>
    <w:rsid w:val="0011590E"/>
    <w:rsid w:val="0011691A"/>
    <w:rsid w:val="00120983"/>
    <w:rsid w:val="001210E7"/>
    <w:rsid w:val="001213CF"/>
    <w:rsid w:val="00123DF7"/>
    <w:rsid w:val="00125658"/>
    <w:rsid w:val="00125B56"/>
    <w:rsid w:val="00127898"/>
    <w:rsid w:val="00130A63"/>
    <w:rsid w:val="00131C4B"/>
    <w:rsid w:val="00134787"/>
    <w:rsid w:val="00135B37"/>
    <w:rsid w:val="001372F1"/>
    <w:rsid w:val="00140028"/>
    <w:rsid w:val="001405CE"/>
    <w:rsid w:val="00143C79"/>
    <w:rsid w:val="001441C6"/>
    <w:rsid w:val="00144296"/>
    <w:rsid w:val="00145833"/>
    <w:rsid w:val="00145AB1"/>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E112F"/>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6BFE"/>
    <w:rsid w:val="00267073"/>
    <w:rsid w:val="00267CE8"/>
    <w:rsid w:val="00267CF4"/>
    <w:rsid w:val="002702D5"/>
    <w:rsid w:val="00270677"/>
    <w:rsid w:val="00270D83"/>
    <w:rsid w:val="00270EFF"/>
    <w:rsid w:val="00271930"/>
    <w:rsid w:val="00271C2C"/>
    <w:rsid w:val="00271C3D"/>
    <w:rsid w:val="0027229F"/>
    <w:rsid w:val="0027268F"/>
    <w:rsid w:val="00275EF7"/>
    <w:rsid w:val="00276434"/>
    <w:rsid w:val="00277101"/>
    <w:rsid w:val="002825EA"/>
    <w:rsid w:val="00282BA9"/>
    <w:rsid w:val="00282C16"/>
    <w:rsid w:val="00282D97"/>
    <w:rsid w:val="0028374C"/>
    <w:rsid w:val="00285C0E"/>
    <w:rsid w:val="00286368"/>
    <w:rsid w:val="0028682F"/>
    <w:rsid w:val="00287381"/>
    <w:rsid w:val="002875D1"/>
    <w:rsid w:val="00287A99"/>
    <w:rsid w:val="00287CF8"/>
    <w:rsid w:val="00291464"/>
    <w:rsid w:val="002914E7"/>
    <w:rsid w:val="0029177A"/>
    <w:rsid w:val="00292A32"/>
    <w:rsid w:val="00294F64"/>
    <w:rsid w:val="00297759"/>
    <w:rsid w:val="002A15E1"/>
    <w:rsid w:val="002A307F"/>
    <w:rsid w:val="002A3765"/>
    <w:rsid w:val="002A39C6"/>
    <w:rsid w:val="002A3C4C"/>
    <w:rsid w:val="002A4A63"/>
    <w:rsid w:val="002A4ED3"/>
    <w:rsid w:val="002A4F39"/>
    <w:rsid w:val="002A60D8"/>
    <w:rsid w:val="002A6989"/>
    <w:rsid w:val="002B0EF9"/>
    <w:rsid w:val="002B6305"/>
    <w:rsid w:val="002B7341"/>
    <w:rsid w:val="002C00B6"/>
    <w:rsid w:val="002C0563"/>
    <w:rsid w:val="002C1597"/>
    <w:rsid w:val="002C1CD9"/>
    <w:rsid w:val="002C2B73"/>
    <w:rsid w:val="002C54BD"/>
    <w:rsid w:val="002C5938"/>
    <w:rsid w:val="002D0F55"/>
    <w:rsid w:val="002D16F3"/>
    <w:rsid w:val="002D2BF8"/>
    <w:rsid w:val="002D4414"/>
    <w:rsid w:val="002D579E"/>
    <w:rsid w:val="002D57C2"/>
    <w:rsid w:val="002D5E32"/>
    <w:rsid w:val="002D72C1"/>
    <w:rsid w:val="002D7EA5"/>
    <w:rsid w:val="002E0E7C"/>
    <w:rsid w:val="002E110C"/>
    <w:rsid w:val="002E2625"/>
    <w:rsid w:val="002E2D44"/>
    <w:rsid w:val="002E395A"/>
    <w:rsid w:val="002E3BE4"/>
    <w:rsid w:val="002E44A7"/>
    <w:rsid w:val="002E780E"/>
    <w:rsid w:val="002E7843"/>
    <w:rsid w:val="002F2826"/>
    <w:rsid w:val="002F3068"/>
    <w:rsid w:val="002F3886"/>
    <w:rsid w:val="002F3D85"/>
    <w:rsid w:val="002F555E"/>
    <w:rsid w:val="002F5773"/>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4623"/>
    <w:rsid w:val="00324F25"/>
    <w:rsid w:val="0032604F"/>
    <w:rsid w:val="00326E0D"/>
    <w:rsid w:val="00327603"/>
    <w:rsid w:val="00333677"/>
    <w:rsid w:val="003348D3"/>
    <w:rsid w:val="00335194"/>
    <w:rsid w:val="0033652B"/>
    <w:rsid w:val="00337C88"/>
    <w:rsid w:val="00341B81"/>
    <w:rsid w:val="00342CFC"/>
    <w:rsid w:val="0034341B"/>
    <w:rsid w:val="00344EC2"/>
    <w:rsid w:val="0034539B"/>
    <w:rsid w:val="00345ED8"/>
    <w:rsid w:val="00346294"/>
    <w:rsid w:val="00346E9B"/>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D6C2A"/>
    <w:rsid w:val="003E063E"/>
    <w:rsid w:val="003E1D6D"/>
    <w:rsid w:val="003E379B"/>
    <w:rsid w:val="003F08FA"/>
    <w:rsid w:val="003F1827"/>
    <w:rsid w:val="003F1FFF"/>
    <w:rsid w:val="003F2E3F"/>
    <w:rsid w:val="003F34A6"/>
    <w:rsid w:val="003F3B64"/>
    <w:rsid w:val="003F51F6"/>
    <w:rsid w:val="003F6689"/>
    <w:rsid w:val="003F6903"/>
    <w:rsid w:val="004014E9"/>
    <w:rsid w:val="004017C1"/>
    <w:rsid w:val="00402DB1"/>
    <w:rsid w:val="004031C2"/>
    <w:rsid w:val="00403D8F"/>
    <w:rsid w:val="004042F7"/>
    <w:rsid w:val="00405248"/>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3DD4"/>
    <w:rsid w:val="004340F4"/>
    <w:rsid w:val="00441CB6"/>
    <w:rsid w:val="00442DDD"/>
    <w:rsid w:val="00443E7E"/>
    <w:rsid w:val="00450259"/>
    <w:rsid w:val="004506FB"/>
    <w:rsid w:val="004509E2"/>
    <w:rsid w:val="00451ACE"/>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1A25"/>
    <w:rsid w:val="004A1EF6"/>
    <w:rsid w:val="004A43E1"/>
    <w:rsid w:val="004A6932"/>
    <w:rsid w:val="004B02BA"/>
    <w:rsid w:val="004B0EE0"/>
    <w:rsid w:val="004B1512"/>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4501"/>
    <w:rsid w:val="004D5D34"/>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3B83"/>
    <w:rsid w:val="0054453D"/>
    <w:rsid w:val="005455BD"/>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5202"/>
    <w:rsid w:val="00586E31"/>
    <w:rsid w:val="00593253"/>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1ACD"/>
    <w:rsid w:val="00601D87"/>
    <w:rsid w:val="00601EB3"/>
    <w:rsid w:val="0060217E"/>
    <w:rsid w:val="00606A05"/>
    <w:rsid w:val="00607F60"/>
    <w:rsid w:val="00610274"/>
    <w:rsid w:val="0061328E"/>
    <w:rsid w:val="006158A2"/>
    <w:rsid w:val="00615CEE"/>
    <w:rsid w:val="0061660B"/>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9A"/>
    <w:rsid w:val="00661350"/>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AE6"/>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5F2"/>
    <w:rsid w:val="007208E6"/>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3736"/>
    <w:rsid w:val="00744192"/>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61B9"/>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4F1B"/>
    <w:rsid w:val="007955C0"/>
    <w:rsid w:val="00797B6F"/>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7F769B"/>
    <w:rsid w:val="00802D83"/>
    <w:rsid w:val="0080321D"/>
    <w:rsid w:val="00803237"/>
    <w:rsid w:val="008034D2"/>
    <w:rsid w:val="00803646"/>
    <w:rsid w:val="008036E5"/>
    <w:rsid w:val="00806449"/>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C7E"/>
    <w:rsid w:val="00860785"/>
    <w:rsid w:val="0086281D"/>
    <w:rsid w:val="008628D3"/>
    <w:rsid w:val="00863ABA"/>
    <w:rsid w:val="00863CFE"/>
    <w:rsid w:val="0086485E"/>
    <w:rsid w:val="0086713A"/>
    <w:rsid w:val="00871854"/>
    <w:rsid w:val="00872988"/>
    <w:rsid w:val="00872F86"/>
    <w:rsid w:val="008733C8"/>
    <w:rsid w:val="0087374A"/>
    <w:rsid w:val="00873D7A"/>
    <w:rsid w:val="008749B1"/>
    <w:rsid w:val="0087606C"/>
    <w:rsid w:val="00876426"/>
    <w:rsid w:val="00876961"/>
    <w:rsid w:val="00877533"/>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3E12"/>
    <w:rsid w:val="008E5D65"/>
    <w:rsid w:val="008E7165"/>
    <w:rsid w:val="008E72B5"/>
    <w:rsid w:val="008E7A5E"/>
    <w:rsid w:val="008F1962"/>
    <w:rsid w:val="008F1CCA"/>
    <w:rsid w:val="008F25B6"/>
    <w:rsid w:val="008F264C"/>
    <w:rsid w:val="008F3A07"/>
    <w:rsid w:val="008F3A20"/>
    <w:rsid w:val="008F5961"/>
    <w:rsid w:val="008F69DF"/>
    <w:rsid w:val="008F6A0B"/>
    <w:rsid w:val="008F79FB"/>
    <w:rsid w:val="00901A0D"/>
    <w:rsid w:val="00901FBE"/>
    <w:rsid w:val="009033E6"/>
    <w:rsid w:val="009033F7"/>
    <w:rsid w:val="00903B8A"/>
    <w:rsid w:val="009046AC"/>
    <w:rsid w:val="009049BF"/>
    <w:rsid w:val="00904AAE"/>
    <w:rsid w:val="0090590A"/>
    <w:rsid w:val="00906661"/>
    <w:rsid w:val="00907C26"/>
    <w:rsid w:val="00910135"/>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38"/>
    <w:rsid w:val="009427B2"/>
    <w:rsid w:val="0094355E"/>
    <w:rsid w:val="009438FA"/>
    <w:rsid w:val="0094427C"/>
    <w:rsid w:val="00944B80"/>
    <w:rsid w:val="00947843"/>
    <w:rsid w:val="00947868"/>
    <w:rsid w:val="00950FFD"/>
    <w:rsid w:val="00951A93"/>
    <w:rsid w:val="009547CF"/>
    <w:rsid w:val="009559F8"/>
    <w:rsid w:val="00955E6D"/>
    <w:rsid w:val="009563E9"/>
    <w:rsid w:val="00957234"/>
    <w:rsid w:val="00957612"/>
    <w:rsid w:val="009614D2"/>
    <w:rsid w:val="009707BB"/>
    <w:rsid w:val="00971F32"/>
    <w:rsid w:val="0097274D"/>
    <w:rsid w:val="00972BA3"/>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C05"/>
    <w:rsid w:val="009B3F59"/>
    <w:rsid w:val="009B3F8D"/>
    <w:rsid w:val="009B4794"/>
    <w:rsid w:val="009B47A5"/>
    <w:rsid w:val="009B5D7B"/>
    <w:rsid w:val="009B63E9"/>
    <w:rsid w:val="009B696E"/>
    <w:rsid w:val="009B6BE8"/>
    <w:rsid w:val="009B7223"/>
    <w:rsid w:val="009C1E50"/>
    <w:rsid w:val="009C28B3"/>
    <w:rsid w:val="009C440B"/>
    <w:rsid w:val="009C54F3"/>
    <w:rsid w:val="009C5545"/>
    <w:rsid w:val="009C7A7A"/>
    <w:rsid w:val="009D078C"/>
    <w:rsid w:val="009D095A"/>
    <w:rsid w:val="009D097E"/>
    <w:rsid w:val="009D2FEF"/>
    <w:rsid w:val="009D404C"/>
    <w:rsid w:val="009D509A"/>
    <w:rsid w:val="009D730C"/>
    <w:rsid w:val="009E07B9"/>
    <w:rsid w:val="009E0BAC"/>
    <w:rsid w:val="009E139B"/>
    <w:rsid w:val="009E17A5"/>
    <w:rsid w:val="009E2A55"/>
    <w:rsid w:val="009E31E2"/>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12C4"/>
    <w:rsid w:val="00A31DBE"/>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529C"/>
    <w:rsid w:val="00A871C4"/>
    <w:rsid w:val="00A91A57"/>
    <w:rsid w:val="00A93E9E"/>
    <w:rsid w:val="00A948CD"/>
    <w:rsid w:val="00A962D9"/>
    <w:rsid w:val="00A96F6F"/>
    <w:rsid w:val="00A9768E"/>
    <w:rsid w:val="00A97D81"/>
    <w:rsid w:val="00AA053F"/>
    <w:rsid w:val="00AA49FF"/>
    <w:rsid w:val="00AA4F5B"/>
    <w:rsid w:val="00AA53BD"/>
    <w:rsid w:val="00AA6FBE"/>
    <w:rsid w:val="00AA74DC"/>
    <w:rsid w:val="00AA7784"/>
    <w:rsid w:val="00AB23C7"/>
    <w:rsid w:val="00AB261F"/>
    <w:rsid w:val="00AB2852"/>
    <w:rsid w:val="00AB50C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EC3"/>
    <w:rsid w:val="00AF3B2D"/>
    <w:rsid w:val="00AF543D"/>
    <w:rsid w:val="00AF6B28"/>
    <w:rsid w:val="00AF6B82"/>
    <w:rsid w:val="00AF6DA3"/>
    <w:rsid w:val="00AF7821"/>
    <w:rsid w:val="00AF7E24"/>
    <w:rsid w:val="00B01A02"/>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26AF6"/>
    <w:rsid w:val="00B31E29"/>
    <w:rsid w:val="00B3294C"/>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318F"/>
    <w:rsid w:val="00B63A77"/>
    <w:rsid w:val="00B64CCA"/>
    <w:rsid w:val="00B6662F"/>
    <w:rsid w:val="00B6670A"/>
    <w:rsid w:val="00B67798"/>
    <w:rsid w:val="00B735E8"/>
    <w:rsid w:val="00B73AC4"/>
    <w:rsid w:val="00B75806"/>
    <w:rsid w:val="00B77B7F"/>
    <w:rsid w:val="00B8175A"/>
    <w:rsid w:val="00B82E69"/>
    <w:rsid w:val="00B85610"/>
    <w:rsid w:val="00B862EF"/>
    <w:rsid w:val="00B86820"/>
    <w:rsid w:val="00B87C21"/>
    <w:rsid w:val="00B9020F"/>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1009"/>
    <w:rsid w:val="00BC396F"/>
    <w:rsid w:val="00BC5D53"/>
    <w:rsid w:val="00BD443B"/>
    <w:rsid w:val="00BD4544"/>
    <w:rsid w:val="00BD4835"/>
    <w:rsid w:val="00BD4CF4"/>
    <w:rsid w:val="00BD65FC"/>
    <w:rsid w:val="00BD7641"/>
    <w:rsid w:val="00BE0BAE"/>
    <w:rsid w:val="00BE2F40"/>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53FD"/>
    <w:rsid w:val="00BF7C88"/>
    <w:rsid w:val="00C004E7"/>
    <w:rsid w:val="00C00CCB"/>
    <w:rsid w:val="00C01B94"/>
    <w:rsid w:val="00C03D4A"/>
    <w:rsid w:val="00C03E9F"/>
    <w:rsid w:val="00C046F4"/>
    <w:rsid w:val="00C1048C"/>
    <w:rsid w:val="00C10C05"/>
    <w:rsid w:val="00C1116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96E83"/>
    <w:rsid w:val="00CA4CCE"/>
    <w:rsid w:val="00CA4F84"/>
    <w:rsid w:val="00CA55A5"/>
    <w:rsid w:val="00CA56E5"/>
    <w:rsid w:val="00CA6A6C"/>
    <w:rsid w:val="00CB2930"/>
    <w:rsid w:val="00CB2EB9"/>
    <w:rsid w:val="00CB3790"/>
    <w:rsid w:val="00CB3C94"/>
    <w:rsid w:val="00CB459E"/>
    <w:rsid w:val="00CB50C8"/>
    <w:rsid w:val="00CB6328"/>
    <w:rsid w:val="00CB6A36"/>
    <w:rsid w:val="00CC16B2"/>
    <w:rsid w:val="00CC1A20"/>
    <w:rsid w:val="00CC2ECC"/>
    <w:rsid w:val="00CC2FBE"/>
    <w:rsid w:val="00CC34ED"/>
    <w:rsid w:val="00CC4578"/>
    <w:rsid w:val="00CC5924"/>
    <w:rsid w:val="00CC6BF0"/>
    <w:rsid w:val="00CD08EF"/>
    <w:rsid w:val="00CD158D"/>
    <w:rsid w:val="00CD1759"/>
    <w:rsid w:val="00CD1EDE"/>
    <w:rsid w:val="00CD2B29"/>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39F3"/>
    <w:rsid w:val="00CF3B1D"/>
    <w:rsid w:val="00CF534D"/>
    <w:rsid w:val="00CF6123"/>
    <w:rsid w:val="00CF74FF"/>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7D55"/>
    <w:rsid w:val="00D30AD8"/>
    <w:rsid w:val="00D31CDF"/>
    <w:rsid w:val="00D32F68"/>
    <w:rsid w:val="00D33AC0"/>
    <w:rsid w:val="00D34EB5"/>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62B6F"/>
    <w:rsid w:val="00D649B2"/>
    <w:rsid w:val="00D6589D"/>
    <w:rsid w:val="00D65B8F"/>
    <w:rsid w:val="00D65CAC"/>
    <w:rsid w:val="00D669A5"/>
    <w:rsid w:val="00D669CF"/>
    <w:rsid w:val="00D66BB8"/>
    <w:rsid w:val="00D66D38"/>
    <w:rsid w:val="00D703A9"/>
    <w:rsid w:val="00D71774"/>
    <w:rsid w:val="00D72A30"/>
    <w:rsid w:val="00D72EBB"/>
    <w:rsid w:val="00D734E0"/>
    <w:rsid w:val="00D7407F"/>
    <w:rsid w:val="00D74EA4"/>
    <w:rsid w:val="00D75FEC"/>
    <w:rsid w:val="00D7644E"/>
    <w:rsid w:val="00D7737A"/>
    <w:rsid w:val="00D80DA0"/>
    <w:rsid w:val="00D81366"/>
    <w:rsid w:val="00D821B0"/>
    <w:rsid w:val="00D83427"/>
    <w:rsid w:val="00D834CC"/>
    <w:rsid w:val="00D849D9"/>
    <w:rsid w:val="00D85784"/>
    <w:rsid w:val="00D8652D"/>
    <w:rsid w:val="00D86D50"/>
    <w:rsid w:val="00D877B8"/>
    <w:rsid w:val="00D91E7F"/>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37C5"/>
    <w:rsid w:val="00E03F27"/>
    <w:rsid w:val="00E04A37"/>
    <w:rsid w:val="00E04D22"/>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46D15"/>
    <w:rsid w:val="00E50B3F"/>
    <w:rsid w:val="00E549F2"/>
    <w:rsid w:val="00E54BC5"/>
    <w:rsid w:val="00E55239"/>
    <w:rsid w:val="00E56D55"/>
    <w:rsid w:val="00E602B6"/>
    <w:rsid w:val="00E60567"/>
    <w:rsid w:val="00E61608"/>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749"/>
    <w:rsid w:val="00E85585"/>
    <w:rsid w:val="00E86493"/>
    <w:rsid w:val="00E876A8"/>
    <w:rsid w:val="00E87A8E"/>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3279"/>
    <w:rsid w:val="00EB4E5A"/>
    <w:rsid w:val="00EB52FE"/>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1591"/>
    <w:rsid w:val="00F116F3"/>
    <w:rsid w:val="00F120C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5B1B"/>
    <w:rsid w:val="00F260D4"/>
    <w:rsid w:val="00F2761A"/>
    <w:rsid w:val="00F31883"/>
    <w:rsid w:val="00F31A4E"/>
    <w:rsid w:val="00F325C1"/>
    <w:rsid w:val="00F34246"/>
    <w:rsid w:val="00F34C50"/>
    <w:rsid w:val="00F35460"/>
    <w:rsid w:val="00F37B00"/>
    <w:rsid w:val="00F37BD0"/>
    <w:rsid w:val="00F40F4E"/>
    <w:rsid w:val="00F40FD8"/>
    <w:rsid w:val="00F42F6C"/>
    <w:rsid w:val="00F43DF9"/>
    <w:rsid w:val="00F45BBE"/>
    <w:rsid w:val="00F462A2"/>
    <w:rsid w:val="00F4721D"/>
    <w:rsid w:val="00F472DA"/>
    <w:rsid w:val="00F527DD"/>
    <w:rsid w:val="00F52D83"/>
    <w:rsid w:val="00F540E5"/>
    <w:rsid w:val="00F54404"/>
    <w:rsid w:val="00F54A54"/>
    <w:rsid w:val="00F558CD"/>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B7F9C"/>
    <w:rsid w:val="00FC0223"/>
    <w:rsid w:val="00FC1939"/>
    <w:rsid w:val="00FC2CFD"/>
    <w:rsid w:val="00FC751F"/>
    <w:rsid w:val="00FD0C78"/>
    <w:rsid w:val="00FD33B0"/>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4763449">
      <w:bodyDiv w:val="1"/>
      <w:marLeft w:val="0"/>
      <w:marRight w:val="0"/>
      <w:marTop w:val="0"/>
      <w:marBottom w:val="0"/>
      <w:divBdr>
        <w:top w:val="none" w:sz="0" w:space="0" w:color="auto"/>
        <w:left w:val="none" w:sz="0" w:space="0" w:color="auto"/>
        <w:bottom w:val="none" w:sz="0" w:space="0" w:color="auto"/>
        <w:right w:val="none" w:sz="0" w:space="0" w:color="auto"/>
      </w:divBdr>
      <w:divsChild>
        <w:div w:id="1689791885">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0701233">
      <w:bodyDiv w:val="1"/>
      <w:marLeft w:val="0"/>
      <w:marRight w:val="0"/>
      <w:marTop w:val="0"/>
      <w:marBottom w:val="0"/>
      <w:divBdr>
        <w:top w:val="none" w:sz="0" w:space="0" w:color="auto"/>
        <w:left w:val="none" w:sz="0" w:space="0" w:color="auto"/>
        <w:bottom w:val="none" w:sz="0" w:space="0" w:color="auto"/>
        <w:right w:val="none" w:sz="0" w:space="0" w:color="auto"/>
      </w:divBdr>
      <w:divsChild>
        <w:div w:id="127625401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771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1837">
          <w:marLeft w:val="0"/>
          <w:marRight w:val="0"/>
          <w:marTop w:val="0"/>
          <w:marBottom w:val="0"/>
          <w:divBdr>
            <w:top w:val="none" w:sz="0" w:space="0" w:color="auto"/>
            <w:left w:val="none" w:sz="0" w:space="0" w:color="auto"/>
            <w:bottom w:val="none" w:sz="0" w:space="0" w:color="auto"/>
            <w:right w:val="none" w:sz="0" w:space="0" w:color="auto"/>
          </w:divBdr>
        </w:div>
      </w:divsChild>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5910851">
      <w:bodyDiv w:val="1"/>
      <w:marLeft w:val="0"/>
      <w:marRight w:val="0"/>
      <w:marTop w:val="0"/>
      <w:marBottom w:val="0"/>
      <w:divBdr>
        <w:top w:val="none" w:sz="0" w:space="0" w:color="auto"/>
        <w:left w:val="none" w:sz="0" w:space="0" w:color="auto"/>
        <w:bottom w:val="none" w:sz="0" w:space="0" w:color="auto"/>
        <w:right w:val="none" w:sz="0" w:space="0" w:color="auto"/>
      </w:divBdr>
      <w:divsChild>
        <w:div w:id="1123963067">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49414719">
      <w:bodyDiv w:val="1"/>
      <w:marLeft w:val="0"/>
      <w:marRight w:val="0"/>
      <w:marTop w:val="0"/>
      <w:marBottom w:val="0"/>
      <w:divBdr>
        <w:top w:val="none" w:sz="0" w:space="0" w:color="auto"/>
        <w:left w:val="none" w:sz="0" w:space="0" w:color="auto"/>
        <w:bottom w:val="none" w:sz="0" w:space="0" w:color="auto"/>
        <w:right w:val="none" w:sz="0" w:space="0" w:color="auto"/>
      </w:divBdr>
      <w:divsChild>
        <w:div w:id="1849713752">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49438872">
      <w:bodyDiv w:val="1"/>
      <w:marLeft w:val="0"/>
      <w:marRight w:val="0"/>
      <w:marTop w:val="0"/>
      <w:marBottom w:val="0"/>
      <w:divBdr>
        <w:top w:val="none" w:sz="0" w:space="0" w:color="auto"/>
        <w:left w:val="none" w:sz="0" w:space="0" w:color="auto"/>
        <w:bottom w:val="none" w:sz="0" w:space="0" w:color="auto"/>
        <w:right w:val="none" w:sz="0" w:space="0" w:color="auto"/>
      </w:divBdr>
      <w:divsChild>
        <w:div w:id="1991445029">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148572">
      <w:bodyDiv w:val="1"/>
      <w:marLeft w:val="0"/>
      <w:marRight w:val="0"/>
      <w:marTop w:val="0"/>
      <w:marBottom w:val="0"/>
      <w:divBdr>
        <w:top w:val="none" w:sz="0" w:space="0" w:color="auto"/>
        <w:left w:val="none" w:sz="0" w:space="0" w:color="auto"/>
        <w:bottom w:val="none" w:sz="0" w:space="0" w:color="auto"/>
        <w:right w:val="none" w:sz="0" w:space="0" w:color="auto"/>
      </w:divBdr>
      <w:divsChild>
        <w:div w:id="613755188">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7709831">
      <w:bodyDiv w:val="1"/>
      <w:marLeft w:val="0"/>
      <w:marRight w:val="0"/>
      <w:marTop w:val="0"/>
      <w:marBottom w:val="0"/>
      <w:divBdr>
        <w:top w:val="none" w:sz="0" w:space="0" w:color="auto"/>
        <w:left w:val="none" w:sz="0" w:space="0" w:color="auto"/>
        <w:bottom w:val="none" w:sz="0" w:space="0" w:color="auto"/>
        <w:right w:val="none" w:sz="0" w:space="0" w:color="auto"/>
      </w:divBdr>
      <w:divsChild>
        <w:div w:id="235554476">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0851020">
      <w:bodyDiv w:val="1"/>
      <w:marLeft w:val="0"/>
      <w:marRight w:val="0"/>
      <w:marTop w:val="0"/>
      <w:marBottom w:val="0"/>
      <w:divBdr>
        <w:top w:val="none" w:sz="0" w:space="0" w:color="auto"/>
        <w:left w:val="none" w:sz="0" w:space="0" w:color="auto"/>
        <w:bottom w:val="none" w:sz="0" w:space="0" w:color="auto"/>
        <w:right w:val="none" w:sz="0" w:space="0" w:color="auto"/>
      </w:divBdr>
      <w:divsChild>
        <w:div w:id="1014189564">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3616505">
      <w:bodyDiv w:val="1"/>
      <w:marLeft w:val="0"/>
      <w:marRight w:val="0"/>
      <w:marTop w:val="0"/>
      <w:marBottom w:val="0"/>
      <w:divBdr>
        <w:top w:val="none" w:sz="0" w:space="0" w:color="auto"/>
        <w:left w:val="none" w:sz="0" w:space="0" w:color="auto"/>
        <w:bottom w:val="none" w:sz="0" w:space="0" w:color="auto"/>
        <w:right w:val="none" w:sz="0" w:space="0" w:color="auto"/>
      </w:divBdr>
      <w:divsChild>
        <w:div w:id="1867912933">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1945509">
      <w:bodyDiv w:val="1"/>
      <w:marLeft w:val="0"/>
      <w:marRight w:val="0"/>
      <w:marTop w:val="0"/>
      <w:marBottom w:val="0"/>
      <w:divBdr>
        <w:top w:val="none" w:sz="0" w:space="0" w:color="auto"/>
        <w:left w:val="none" w:sz="0" w:space="0" w:color="auto"/>
        <w:bottom w:val="none" w:sz="0" w:space="0" w:color="auto"/>
        <w:right w:val="none" w:sz="0" w:space="0" w:color="auto"/>
      </w:divBdr>
      <w:divsChild>
        <w:div w:id="1442409632">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313014">
      <w:bodyDiv w:val="1"/>
      <w:marLeft w:val="0"/>
      <w:marRight w:val="0"/>
      <w:marTop w:val="0"/>
      <w:marBottom w:val="0"/>
      <w:divBdr>
        <w:top w:val="none" w:sz="0" w:space="0" w:color="auto"/>
        <w:left w:val="none" w:sz="0" w:space="0" w:color="auto"/>
        <w:bottom w:val="none" w:sz="0" w:space="0" w:color="auto"/>
        <w:right w:val="none" w:sz="0" w:space="0" w:color="auto"/>
      </w:divBdr>
      <w:divsChild>
        <w:div w:id="1625305828">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78603191">
      <w:bodyDiv w:val="1"/>
      <w:marLeft w:val="0"/>
      <w:marRight w:val="0"/>
      <w:marTop w:val="0"/>
      <w:marBottom w:val="0"/>
      <w:divBdr>
        <w:top w:val="none" w:sz="0" w:space="0" w:color="auto"/>
        <w:left w:val="none" w:sz="0" w:space="0" w:color="auto"/>
        <w:bottom w:val="none" w:sz="0" w:space="0" w:color="auto"/>
        <w:right w:val="none" w:sz="0" w:space="0" w:color="auto"/>
      </w:divBdr>
      <w:divsChild>
        <w:div w:id="1088893551">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TotalTime>
  <Pages>7</Pages>
  <Words>1504</Words>
  <Characters>8574</Characters>
  <Application>Microsoft Office Word</Application>
  <DocSecurity>0</DocSecurity>
  <PresentationFormat/>
  <Lines>71</Lines>
  <Paragraphs>20</Paragraphs>
  <Slides>0</Slides>
  <Notes>0</Notes>
  <HiddenSlides>0</HiddenSlides>
  <MMClips>0</MMClips>
  <ScaleCrop>false</ScaleCrop>
  <Company>pp</Company>
  <LinksUpToDate>false</LinksUpToDate>
  <CharactersWithSpaces>10058</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492</cp:revision>
  <cp:lastPrinted>2013-11-19T00:40:00Z</cp:lastPrinted>
  <dcterms:created xsi:type="dcterms:W3CDTF">2016-06-24T01:32:00Z</dcterms:created>
  <dcterms:modified xsi:type="dcterms:W3CDTF">2017-12-07T01:29:00Z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