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2A60D8" w:rsidP="00BE469C">
            <w:pPr>
              <w:ind w:right="442"/>
              <w:jc w:val="right"/>
              <w:rPr>
                <w:rFonts w:asciiTheme="minorEastAsia" w:eastAsiaTheme="minorEastAsia" w:hAnsiTheme="minorEastAsia" w:cs="宋体-18030"/>
                <w:b/>
                <w:color w:val="FFFFFF"/>
                <w:sz w:val="24"/>
              </w:rPr>
            </w:pPr>
            <w:r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8628D3" w:rsidRDefault="002A3C4C" w:rsidP="00232066">
      <w:pPr>
        <w:pBdr>
          <w:bottom w:val="single" w:sz="6" w:space="1" w:color="auto"/>
        </w:pBdr>
        <w:rPr>
          <w:rFonts w:asciiTheme="minorEastAsia" w:eastAsiaTheme="minorEastAsia" w:hAnsiTheme="minorEastAsia" w:cs="Arial"/>
          <w:color w:val="FF0000"/>
          <w:sz w:val="24"/>
        </w:rPr>
      </w:pPr>
      <w:r w:rsidRPr="008628D3">
        <w:rPr>
          <w:rFonts w:asciiTheme="minorEastAsia" w:eastAsiaTheme="minorEastAsia" w:hAnsiTheme="minorEastAsia" w:cs="Arial"/>
          <w:color w:val="FF0000"/>
          <w:sz w:val="24"/>
        </w:rPr>
        <w:fldChar w:fldCharType="begin"/>
      </w:r>
      <w:r w:rsidR="00F70678" w:rsidRPr="008628D3">
        <w:rPr>
          <w:rFonts w:asciiTheme="minorEastAsia" w:eastAsiaTheme="minorEastAsia" w:hAnsiTheme="minorEastAsia" w:cs="Arial" w:hint="eastAsia"/>
          <w:color w:val="FF0000"/>
          <w:sz w:val="24"/>
        </w:rPr>
        <w:instrText>TIME \@ "yyyy年M月d日星期W"</w:instrText>
      </w:r>
      <w:r w:rsidRPr="008628D3">
        <w:rPr>
          <w:rFonts w:asciiTheme="minorEastAsia" w:eastAsiaTheme="minorEastAsia" w:hAnsiTheme="minorEastAsia" w:cs="Arial"/>
          <w:color w:val="FF0000"/>
          <w:sz w:val="24"/>
        </w:rPr>
        <w:fldChar w:fldCharType="separate"/>
      </w:r>
      <w:r w:rsidR="00110E36">
        <w:rPr>
          <w:rFonts w:asciiTheme="minorEastAsia" w:eastAsiaTheme="minorEastAsia" w:hAnsiTheme="minorEastAsia" w:cs="Arial"/>
          <w:noProof/>
          <w:color w:val="FF0000"/>
          <w:sz w:val="24"/>
        </w:rPr>
        <w:t>2017年11月21日星期二</w:t>
      </w:r>
      <w:r w:rsidRPr="008628D3">
        <w:rPr>
          <w:rFonts w:asciiTheme="minorEastAsia" w:eastAsiaTheme="minorEastAsia" w:hAnsiTheme="minorEastAsia" w:cs="Arial"/>
          <w:color w:val="FF0000"/>
          <w:sz w:val="24"/>
        </w:rPr>
        <w:fldChar w:fldCharType="end"/>
      </w:r>
      <w:bookmarkStart w:id="0" w:name="_GoBack"/>
      <w:bookmarkEnd w:id="0"/>
    </w:p>
    <w:p w:rsidR="00110E36" w:rsidRPr="00110E36" w:rsidRDefault="00110E36" w:rsidP="00110E36">
      <w:pPr>
        <w:widowControl/>
        <w:jc w:val="left"/>
        <w:rPr>
          <w:rFonts w:ascii="宋体" w:hAnsi="宋体" w:cs="宋体" w:hint="eastAsia"/>
          <w:b/>
          <w:color w:val="FF0000"/>
          <w:kern w:val="0"/>
          <w:sz w:val="24"/>
        </w:rPr>
      </w:pPr>
      <w:r w:rsidRPr="00110E36">
        <w:rPr>
          <w:rFonts w:ascii="宋体" w:hAnsi="宋体" w:cs="宋体"/>
          <w:b/>
          <w:color w:val="FF0000"/>
          <w:kern w:val="0"/>
          <w:sz w:val="24"/>
        </w:rPr>
        <w:t>钢材:</w:t>
      </w:r>
    </w:p>
    <w:p w:rsidR="00110E36" w:rsidRDefault="00110E36" w:rsidP="00110E36">
      <w:pPr>
        <w:widowControl/>
        <w:jc w:val="left"/>
        <w:rPr>
          <w:rFonts w:ascii="宋体" w:hAnsi="宋体" w:cs="宋体" w:hint="eastAsia"/>
          <w:kern w:val="0"/>
          <w:sz w:val="24"/>
        </w:rPr>
      </w:pPr>
      <w:r w:rsidRPr="00110E36">
        <w:rPr>
          <w:rFonts w:ascii="宋体" w:hAnsi="宋体" w:cs="宋体"/>
          <w:kern w:val="0"/>
          <w:sz w:val="24"/>
        </w:rPr>
        <w:t>夜盘螺纹钢期货主力合约价格小幅波动，rb1805合约成交较为活跃，尾盘减仓收于3705。宏观方面，前三季度中国社会物流总额达185万亿，同比增速近7成；16部委出台新政力促民资制造业升级；国企重组全面提速进入“施工期”；51家金融机构与20余家房地产企业就明年楼市召开闭门研讨会；一线城市土地供应超去年五成；北上深等10城房价统计角度跌回一年前；北京宅地供应面积同比上涨268%，创近四年最高纪录；沪新房市场冷清，连续七周成交低于10万平方米。行业方面，唐山预测出现中度至重度污染天气过程自11月20日15时-21日12时，采用湿法脱硫的烧结机、竖炉全部停产，采用半干法脱硫的烧结机继续限产50%，焦企出焦时间延长至48小时。11月20日18时-21日12时钢企、焦化等重点用车企业禁止运输车辆进出厂区，港口集疏运输车辆禁止进出港区；煤省山西加速转型，新能源汽车增长15.5倍；山东省水泥最低限价不低于500元/吨。现货方面，天津地区大螺主流报价4040元/吨左右；上海地区主流报价在4150-4170元/吨，盘面贴水584；热卷方面，上海5.5-11.75*1500*C规格热轧板卷主流价格4070元/吨；天津5.5-11.75*1500*C规格热轧板卷主流价格4070-4090元/吨。坯料方面，唐山地区钢坯价格稳至3800元/吨。当前全国高炉开工率降至历史新低，整体消费情况良好，推动库存去化加速，目前降至历史较低水平，供需整体处于偏紧状态，rb1805在3600一线获有较强支撑，小幅反弹修复部分贴水，主力合约短线关注3620-3760运行区间。（仅供参考）</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铁矿：</w:t>
      </w:r>
    </w:p>
    <w:p w:rsidR="00110E36" w:rsidRDefault="00110E36" w:rsidP="00110E36">
      <w:pPr>
        <w:widowControl/>
        <w:jc w:val="left"/>
        <w:rPr>
          <w:rFonts w:ascii="宋体" w:hAnsi="宋体" w:cs="宋体" w:hint="eastAsia"/>
          <w:kern w:val="0"/>
          <w:sz w:val="24"/>
        </w:rPr>
      </w:pPr>
      <w:r w:rsidRPr="00110E36">
        <w:rPr>
          <w:rFonts w:ascii="宋体" w:hAnsi="宋体" w:cs="宋体"/>
          <w:kern w:val="0"/>
          <w:sz w:val="24"/>
        </w:rPr>
        <w:t>夜盘铁矿主力合约价格窄幅波动，I1801合约成交缩量，尾盘减仓收于471。宏观方面，前三季度中国社会物流总额达185万亿，同比增速近7成；16部委出台新政力促民资制造业升级；国企重组全面提速进入“施工期”；51家金融机构与20余家房地产企业就明年楼市召开闭门研讨会；一线城市土地供应超去年五成；北上深等10城房价统计角度跌回一年前；北京宅地供应面积同比上涨268%，创近四年最高纪录；沪新房市场冷清，连续七周成交低于10万平方米。行业方面，唐山预测出现中度至重度污染天气过程自11月20日15时-21日12时，采用湿法脱硫的烧结机、竖炉全部停产，采用半干法脱硫的烧结机继续限产50%，焦企出焦时间延长至48小时。11月20日18时-21日12时钢企、焦化等重点用车企业禁止运输车辆进出厂区，港口集疏运输车辆禁止进出港区；煤省山西加速转型，新能源汽车增长15.5倍；山东省水泥最低限价不低于500元/吨。现货方面，目前迁安66%干基含税现金出厂655-665元/吨；枣庄65%干基含税出厂610元/吨；莱芜64%干基不含税承兑出厂555元/吨。进口矿方面，山东港口pb粉主流价格470元/吨左右。从基本面来看，贸易矿铁矿占比持续新高，钢厂库存维持低位运行，上行空间有限，短线主力合约关注475-480压力区域。（仅供参考）</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橡胶：</w:t>
      </w:r>
    </w:p>
    <w:p w:rsidR="00110E36" w:rsidRDefault="00110E36" w:rsidP="00110E36">
      <w:pPr>
        <w:widowControl/>
        <w:jc w:val="left"/>
        <w:rPr>
          <w:rFonts w:ascii="宋体" w:hAnsi="宋体" w:cs="宋体" w:hint="eastAsia"/>
          <w:kern w:val="0"/>
          <w:sz w:val="24"/>
        </w:rPr>
      </w:pPr>
      <w:r w:rsidRPr="00110E36">
        <w:rPr>
          <w:rFonts w:ascii="宋体" w:hAnsi="宋体" w:cs="宋体"/>
          <w:kern w:val="0"/>
          <w:sz w:val="24"/>
        </w:rPr>
        <w:t>期货小幅走高，青岛保税区美元胶市场小涨+10美元/吨，交投清淡。烟片报价1580美元/吨，马标现货或港上船货报价1430美元/吨，泰标船货报价1440-1460美元/吨，混合升水标胶+15美元/吨报价1460-1470美元/吨。人民币混合报价11300元/吨。华北丁苯1502报价13200元/吨，华北</w:t>
      </w:r>
      <w:r w:rsidRPr="00110E36">
        <w:rPr>
          <w:rFonts w:ascii="宋体" w:hAnsi="宋体" w:cs="宋体"/>
          <w:kern w:val="0"/>
          <w:sz w:val="24"/>
        </w:rPr>
        <w:lastRenderedPageBreak/>
        <w:t>丁苯1712报价11400元/吨，燕山石化顺丁报价11820元/吨，华东丁二烯报价8500元/吨。SICOM低位震荡，TF03合约报收142.6点，下跌-0.6点或-0.42%。沪胶急跌后回调，1801合约报收13525点，下跌-15点或-0.11%。</w:t>
      </w:r>
      <w:r w:rsidRPr="00110E36">
        <w:rPr>
          <w:rFonts w:ascii="宋体" w:hAnsi="宋体" w:cs="宋体"/>
          <w:kern w:val="0"/>
          <w:sz w:val="24"/>
        </w:rPr>
        <w:br/>
        <w:t>11月15日，大陆集团位于德国梅克伦堡-前波美拉尼亚州的“蒲公英橡胶实验室”举行了动土仪式。该实验室总投资达到3500万欧元（约合人民币2.74亿元）。大陆集团方面称，这个实验室计划在2018年Q3正式投入使用。实验室主要研究对象为一种俄罗斯品种蒲公英，希望制备出可以作为天然橡胶替代原料的成分。该家制造商已与一些机构合作，制作并测试了第一个完全用蒲公英橡胶生产的冬季轮胎，型号为Contact TS 850 P，该轮胎还申请了Taraxagum tire（蒲公英轮胎）商标。</w:t>
      </w:r>
      <w:r w:rsidRPr="00110E36">
        <w:rPr>
          <w:rFonts w:ascii="宋体" w:hAnsi="宋体" w:cs="宋体"/>
          <w:kern w:val="0"/>
          <w:sz w:val="24"/>
        </w:rPr>
        <w:br/>
        <w:t>上游降雨缓和，供应将快速恢复，偏北部产胶区逐渐进入减产停割。青岛保税区橡胶库存20.61万吨，较上月同期累库+0.72万吨或+4%。上期所橡胶库存小计51万吨，较上月同期累库+4.61万吨或+10%。日本交割库存4815吨，较上月同期累库+1988吨或+70%，显性库存全部累库。下游轮胎经销商拿货积极性不及预期，轮胎厂三包胎库存增加，整体基本面偏空。昨晚沪胶指数一度跌至9月28日以来的最低点，而后随焦炭、螺纹和有色缓慢爬升，7日均线触及21日均线。01、05合约已走出了中期的最低值，短线偏弱，宜轻仓观望。（仅供参考）</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宏观：周二（11月21日）</w:t>
      </w:r>
      <w:r w:rsidRPr="00110E36">
        <w:rPr>
          <w:rFonts w:ascii="宋体" w:hAnsi="宋体" w:cs="宋体"/>
          <w:kern w:val="0"/>
          <w:sz w:val="24"/>
        </w:rPr>
        <w:br/>
        <w:t>美国股市：美股连续两周收低后反弹，耶伦提出辞职未影响市场。标普500指数上涨0.1%，报2582.14点。我们昨天提到，近期对于税改的争夺仍将持续，但市场对于最坏的结果已经有一定预期，向好的零售、物价以及其他基本面数据开始主导市场走势，美债和黄金下行，美元指数上行。短期内我们对于全球金融市场走势预期并未发生改变。</w:t>
      </w:r>
      <w:r w:rsidRPr="00110E36">
        <w:rPr>
          <w:rFonts w:ascii="宋体" w:hAnsi="宋体" w:cs="宋体"/>
          <w:kern w:val="0"/>
          <w:sz w:val="24"/>
        </w:rPr>
        <w:br/>
        <w:t>欧洲方面，欧洲央行行长德拉吉称，通胀率还没有达到欧洲央行目标，重申超宽松货币政策的任何变化都必须渐进实施，另外在组建执政联盟的谈判破裂后，德国总理默克尔表示，相比于组建少数派政府，她宁愿重新举行联邦选举，欧央行的鸽派倾向以及德国政局的动荡导致欧债收益率下行，进而促使欧元下跌，进一步促进了美元指数的涨势。</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棉花、棉纱：</w:t>
      </w:r>
    </w:p>
    <w:p w:rsidR="00110E36" w:rsidRDefault="00110E36" w:rsidP="00110E36">
      <w:pPr>
        <w:widowControl/>
        <w:jc w:val="left"/>
        <w:rPr>
          <w:rFonts w:ascii="宋体" w:hAnsi="宋体" w:cs="宋体" w:hint="eastAsia"/>
          <w:kern w:val="0"/>
          <w:sz w:val="24"/>
        </w:rPr>
      </w:pPr>
      <w:r w:rsidRPr="00110E36">
        <w:rPr>
          <w:rFonts w:ascii="宋体" w:hAnsi="宋体" w:cs="宋体"/>
          <w:kern w:val="0"/>
          <w:sz w:val="24"/>
        </w:rPr>
        <w:t>2017年11月20日，技术图形持续走强促使基金多头在12月合约交割前发力，ICE期货午夜时分突然直线拉升，收盘时本年度合约全线大涨百余点，主力3月合约一举突破长期盘整区间强势站上70美分，成交量明显放大。12月合约收71.41涨163，3月合约收70.84涨149；成交量50284。</w:t>
      </w:r>
      <w:r w:rsidRPr="00110E36">
        <w:rPr>
          <w:rFonts w:ascii="宋体" w:hAnsi="宋体" w:cs="宋体"/>
          <w:kern w:val="0"/>
          <w:sz w:val="24"/>
        </w:rPr>
        <w:br/>
        <w:t>夜盘郑棉1月14955跌5,5月15050涨5,9月15355涨0；郑棉纱1月22930跌40。2017年11月20日注册仓单822（+3），有效预报451（+94）=1273（折现货5.1万吨），其中17年度新仓单276张，地产棉48张，新疆棉228张；内地库76张，新疆库200张。根据i棉网数据显示截止11月19日24时全国累计加工298万吨，其中新疆累计加工皮棉293万吨，其中地方企业加工193万吨，兵团加工100万吨；内地累计加工4.7万吨。皮棉检验246万吨，新疆242万吨，内地检验4.3万吨。近期运力出现了紧张，尤其是铁路车皮难求，汽运运费上调100-200元/吨，但因新棉采购及外运需求并不紧迫，所以影响有限。随着发行还款时间临近，疆棉销售压力日增，个别轧花厂调低报价，北疆因其成本优势销售进度略快于南疆。纺织企业仍不急于采购，零星采购普遍挑货压价，买方市场特征明显，纺织厂占据主动，皮棉价格压力大。郑棉贴水现货，有采购需求的企业可逢低通过郑棉建立虚拟库存；郑棉弱势，目前价位不建议追空。（仅供参考）</w:t>
      </w:r>
      <w:r w:rsidRPr="00110E36">
        <w:rPr>
          <w:rFonts w:ascii="宋体" w:hAnsi="宋体" w:cs="宋体"/>
          <w:kern w:val="0"/>
          <w:sz w:val="24"/>
        </w:rPr>
        <w:br/>
      </w:r>
      <w:r w:rsidRPr="00110E36">
        <w:rPr>
          <w:rFonts w:ascii="宋体" w:hAnsi="宋体" w:cs="宋体"/>
          <w:kern w:val="0"/>
          <w:sz w:val="24"/>
        </w:rPr>
        <w:lastRenderedPageBreak/>
        <w:br/>
      </w:r>
      <w:r w:rsidRPr="00110E36">
        <w:rPr>
          <w:rFonts w:ascii="宋体" w:hAnsi="宋体" w:cs="宋体"/>
          <w:b/>
          <w:color w:val="FF0000"/>
          <w:kern w:val="0"/>
          <w:sz w:val="24"/>
        </w:rPr>
        <w:t>玻璃：</w:t>
      </w:r>
    </w:p>
    <w:p w:rsidR="00110E36" w:rsidRDefault="00110E36" w:rsidP="00110E36">
      <w:pPr>
        <w:widowControl/>
        <w:jc w:val="left"/>
        <w:rPr>
          <w:rFonts w:ascii="宋体" w:hAnsi="宋体" w:cs="宋体" w:hint="eastAsia"/>
          <w:kern w:val="0"/>
          <w:sz w:val="24"/>
        </w:rPr>
      </w:pPr>
      <w:r w:rsidRPr="00110E36">
        <w:rPr>
          <w:rFonts w:ascii="宋体" w:hAnsi="宋体" w:cs="宋体"/>
          <w:kern w:val="0"/>
          <w:sz w:val="24"/>
        </w:rPr>
        <w:t>周一夜盘玻璃期货价格高位盘整，FG1801开盘1511元收1507元；FG1805开盘1428元收1441元。其中主力合约FG1801盘中最高价1523元，最低价1498元，持仓470092手。技术上，玻璃1801合约高位盘整，期价测试1530一线压力，下方受到5日均线支撑，短线呈现强势震荡走势。现货市场：目前北方进入冬季采暖季，截止上周，河北沙河地区共有9条玻璃生产线停产，当地产能减少高达20%，另有3条生产线由于环保问题也存在停产风险，供应端的大幅收缩令沙河地区贸易商和下游加工企业抢货积极性高涨，生产企业库存则大幅减少，沙河地区现货报价上周大幅上调，本周继续走高，其他地区现货报价也出现跟涨。纯碱等上游原材料价格居高不下也对玻璃价格的上涨有一定助推作用。宏观方面，前三季度中国社会物流总额达185万亿，同比增速近7成；16部委出台新政力促民资制造业升级；国企重组全面提速进入“施工期”；51家金融机构与20余家房地产企业就明年楼市召开闭门研讨会；一线城市土地供应超去年五成；北上深等10城房价统计角度跌回一年前；北京宅地供应面积同比上涨268%，创近四年最高纪录；沪新房市场冷清，连续七周成交低于10万平方米。</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PVC：</w:t>
      </w:r>
    </w:p>
    <w:p w:rsidR="00110E36" w:rsidRDefault="00110E36" w:rsidP="00110E36">
      <w:pPr>
        <w:widowControl/>
        <w:jc w:val="left"/>
        <w:rPr>
          <w:rFonts w:ascii="宋体" w:hAnsi="宋体" w:cs="宋体" w:hint="eastAsia"/>
          <w:kern w:val="0"/>
          <w:sz w:val="24"/>
        </w:rPr>
      </w:pPr>
      <w:r w:rsidRPr="00110E36">
        <w:rPr>
          <w:rFonts w:ascii="宋体" w:hAnsi="宋体" w:cs="宋体"/>
          <w:kern w:val="0"/>
          <w:sz w:val="24"/>
        </w:rPr>
        <w:t>期货方面：周一pvc期货主力合约V1801小幅反弹，开盘6045，最高6070，最低5975，结算6025，涨45，缩量减仓收小阴线。现货市场氛围不佳，市场参与者仍显信心不足，观望为主,期现价差低位徘徊。</w:t>
      </w:r>
      <w:r>
        <w:rPr>
          <w:rFonts w:ascii="宋体" w:hAnsi="宋体" w:cs="宋体"/>
          <w:kern w:val="0"/>
          <w:sz w:val="24"/>
        </w:rPr>
        <w:br/>
      </w:r>
      <w:r w:rsidRPr="00110E36">
        <w:rPr>
          <w:rFonts w:ascii="宋体" w:hAnsi="宋体" w:cs="宋体"/>
          <w:kern w:val="0"/>
          <w:sz w:val="24"/>
        </w:rPr>
        <w:t>现货市场：国内PVC市场弱势整理，期货窄幅震荡，现货恢复平静，华东及华南成交略改善，低价减少，北方市场成交依然不佳，部分阴跌。5型普通电石料，华东市场主流自提报价5970-6050元/吨，华南地区6080-6120元/吨自提；山东主流6070-6170元/吨送到，河北市场主流5930-6000元/吨送到。</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MA</w:t>
      </w:r>
      <w:r w:rsidRPr="00110E36">
        <w:rPr>
          <w:rFonts w:ascii="宋体" w:hAnsi="宋体" w:cs="宋体"/>
          <w:kern w:val="0"/>
          <w:sz w:val="24"/>
        </w:rPr>
        <w:br/>
        <w:t>甲醇主力合约MA1801夜盘继续冲高，收于2952元/吨，较前日结算价上涨1.51%；现货方面：昨日各区域普遍上涨，江苏太仓现货报盘3030-3050元/吨；山东南部地区主力工厂报盘继续推涨至3010-3030元/吨；内蒙古地区重心上移，北线地区暂定报价2650-2700元/吨。内地价格持续上行，库存偏低，工厂推价，尽管下游利润近期明显压缩；烯烃采购和苏北限产导致鲁南偏强，此外神华包头由于甲醇装置故障近期开始少量外采，关注后期内地库存变化情况以及下游利润水平；供应端情况来看，天然气涨价、环保限产情况依然带来炒作动力，周末西北易高（30万吨）煤化工净化装置换热器泄露造成框架着火事故，预计对产量有所影响。港口方面，库存依然偏低，仍有部分船货存在推迟到港情况；中期结合船期和内地价差来看后续供应将有所增加，港口库存后续小幅回升概率较大。基本面上目前依然处于正套格局，近端库存低、贴水内地现货较大，01合约依然维持强势，存在可能的补贴水行情，但是空间或受到下游利润空间的制约，短期驱动依然向上，但是从空间、盈亏比角度，中期倾向于建议05合约上逐步逢高试空（仅供参考）。</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沥青：</w:t>
      </w:r>
    </w:p>
    <w:p w:rsidR="00110E36" w:rsidRDefault="00110E36" w:rsidP="00110E36">
      <w:pPr>
        <w:widowControl/>
        <w:jc w:val="left"/>
        <w:rPr>
          <w:rFonts w:ascii="宋体" w:hAnsi="宋体" w:cs="宋体" w:hint="eastAsia"/>
          <w:kern w:val="0"/>
          <w:sz w:val="24"/>
        </w:rPr>
      </w:pPr>
      <w:r w:rsidRPr="00110E36">
        <w:rPr>
          <w:rFonts w:ascii="宋体" w:hAnsi="宋体" w:cs="宋体"/>
          <w:kern w:val="0"/>
          <w:sz w:val="24"/>
        </w:rPr>
        <w:t>周一沥青夜盘继续回升，盘面呈现向上十字针型，市场对价格走势认知出现分化；目前主力合约BU1712收于2534点，较昨日收盘价下跌8点（-0.31%），持仓量减少6552手至183100手。远月合约BU1806持续上涨，收2684点，较昨日收盘价上涨18点（0.67%）。国际油价昨日下跌，主要</w:t>
      </w:r>
      <w:r w:rsidRPr="00110E36">
        <w:rPr>
          <w:rFonts w:ascii="宋体" w:hAnsi="宋体" w:cs="宋体"/>
          <w:kern w:val="0"/>
          <w:sz w:val="24"/>
        </w:rPr>
        <w:lastRenderedPageBreak/>
        <w:t>原因是投资者在OPEC真正实现减产前相对谨慎。OPEC和俄罗斯将在11月30日举行会议讨论政策，决定是否延长减产至明年年底。另一方面，美国产量持续增，数据显示美国原油生产商在近期油价上涨后增加产量，市场对美国产量的担忧日益加重。近期公布的报告预计美国原油产量在未来三至六个月内将上升至接近1000万桶/日。2017年12月交货的WTI原油期货下跌0.46美元/桶，收盘价报56.09美元/桶；2018年1月交货的布伦特原油期货下跌0.5美元/桶，收盘价报62.22美元/桶。</w:t>
      </w:r>
      <w:r w:rsidRPr="00110E36">
        <w:rPr>
          <w:rFonts w:ascii="宋体" w:hAnsi="宋体" w:cs="宋体"/>
          <w:kern w:val="0"/>
          <w:sz w:val="24"/>
        </w:rPr>
        <w:br/>
        <w:t>现货方面，东部和南部地区已成为沥青消费主力，价格持续攀升，华南地区需求量继续向好，现货批发价格上涨35元/吨至2700元/吨。长三角地区下游施工继续向好，沥青批发价格继续上涨15元/吨至2600元/吨。山东及周边地区市场需求较好，炼厂出货平稳，价格稳定在2635元/吨。其他地区价格维持稳定，东北地区市场均价为2640元/吨，西北地区市场均价为3100元/吨。若原油价格维持高位震荡，南方市场需求向好，则有望支撑沥青价格进一步上升。（仅供参考）</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锌铅：</w:t>
      </w:r>
    </w:p>
    <w:p w:rsidR="00110E36" w:rsidRDefault="00110E36" w:rsidP="00110E36">
      <w:pPr>
        <w:widowControl/>
        <w:jc w:val="left"/>
        <w:rPr>
          <w:rFonts w:ascii="宋体" w:hAnsi="宋体" w:cs="宋体" w:hint="eastAsia"/>
          <w:kern w:val="0"/>
          <w:sz w:val="24"/>
        </w:rPr>
      </w:pPr>
      <w:r w:rsidRPr="00110E36">
        <w:rPr>
          <w:rFonts w:ascii="宋体" w:hAnsi="宋体" w:cs="宋体"/>
          <w:kern w:val="0"/>
          <w:sz w:val="24"/>
        </w:rPr>
        <w:t>隔夜LME锌铅略有分化，LME锌小幅收跌于3164美元，LME铅小幅收涨于2457美元；夜盘沪锌窄幅震荡，沪铅尾随外盘小幅走强。宏观市场，美联储主席耶伦周一向特朗普递交辞呈，表示一旦鲍威尔宣誓就任美联储主席她就会离职，辞去美联储理事职务；上周日与自民党组建联合政府的谈判破裂后，默克尔本周一表示，宁可重新大选，也不愿领导一个少数派政府，隔夜美元指数触底回升。现货市场回顾，昨日上海0#锌主流成交于25390-25580元/吨，0#普通品牌对沪锌1712合约升水160-升水180元/吨附近。行业方面，株冶集团今日晚间发布公告，公司拟在位于衡阳市水口山镇的水口山经济开发区园区内新建年产30万吨锌冶炼项目，项目预计投资人民币50.66亿元。实际上该冶炼项目主要是为了搬迁原来株洲地区冶炼厂，整体产能增加或有限。操作上来说，沪锌多空仍有分歧，或继续在2.5万一线反复，沪铅均线承压，反弹高度或受到抑制。（仅供参考）</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LL&amp;PP  </w:t>
      </w:r>
      <w:r w:rsidRPr="00110E36">
        <w:rPr>
          <w:rFonts w:ascii="宋体" w:hAnsi="宋体" w:cs="宋体"/>
          <w:kern w:val="0"/>
          <w:sz w:val="24"/>
        </w:rPr>
        <w:t>                   </w:t>
      </w:r>
      <w:r>
        <w:rPr>
          <w:rFonts w:ascii="宋体" w:hAnsi="宋体" w:cs="宋体"/>
          <w:kern w:val="0"/>
          <w:sz w:val="24"/>
        </w:rPr>
        <w:t>                  </w:t>
      </w:r>
      <w:r w:rsidRPr="00110E36">
        <w:rPr>
          <w:rFonts w:ascii="宋体" w:hAnsi="宋体" w:cs="宋体"/>
          <w:kern w:val="0"/>
          <w:sz w:val="24"/>
        </w:rPr>
        <w:t>昨日夜盘商品高位震荡，日盘LL&amp;PP高开上行，L1801收于9705，较上个交易日收盘价上涨85元/吨，涨幅0.88%，PP1801收于9155，较上个交易日收盘价上涨95元/吨，涨幅1.05%。</w:t>
      </w:r>
      <w:r w:rsidRPr="00110E36">
        <w:rPr>
          <w:rFonts w:ascii="宋体" w:hAnsi="宋体" w:cs="宋体"/>
          <w:kern w:val="0"/>
          <w:sz w:val="24"/>
        </w:rPr>
        <w:br/>
        <w:t>油化工方面线性中油华东华南大区出厂价格下调50-150元/吨，但总体成交依然不畅，PP拉丝沿海大区出厂价格稳定。套保盘方面，线性华东平水盘面出货，华北线性贴水盘面50出货， 华东PP贴盘面80-100出货，套保货源总体量少，下游持谨慎态度，市场整体成交清淡。煤化工LLDPE华北地区9550-9600元/吨，华东地区9650-9700元/吨， PP8拉丝华东地区8900-9000元/吨。 </w:t>
      </w:r>
      <w:r w:rsidRPr="00110E36">
        <w:rPr>
          <w:rFonts w:ascii="宋体" w:hAnsi="宋体" w:cs="宋体"/>
          <w:kern w:val="0"/>
          <w:sz w:val="24"/>
        </w:rPr>
        <w:br/>
        <w:t>PE供应方面，中天合创高压装置昨日因故停车，福建联合PE装置一线昨日转产8008，二线18日转产2220BS，四川石化低压装置故障停车检修；PP供应方面，福基石化40万吨PDH装置计划本月底检修，海南炼化PP装置计划昨日起检修至明年1月，大唐多伦计划近日重启，神华宁煤新装置近日进行石脑油裂解及聚合，近期有望重启。需求方面，棚膜开工维持高位，bopp端成品库存降至中等偏下，下游按需采购。库存方面，上周社会库存环比小幅上升，套保隐形库存上周有所去化。短期供需依然紧平衡，塑料和pp主力合约下方9500和8800附近存在支撑，短期盘面走势震荡。（仅供参考）</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铝：</w:t>
      </w:r>
    </w:p>
    <w:p w:rsidR="00110E36" w:rsidRDefault="00110E36" w:rsidP="00110E36">
      <w:pPr>
        <w:widowControl/>
        <w:jc w:val="left"/>
        <w:rPr>
          <w:rFonts w:ascii="宋体" w:hAnsi="宋体" w:cs="宋体" w:hint="eastAsia"/>
          <w:kern w:val="0"/>
          <w:sz w:val="24"/>
        </w:rPr>
      </w:pPr>
      <w:r w:rsidRPr="00110E36">
        <w:rPr>
          <w:rFonts w:ascii="宋体" w:hAnsi="宋体" w:cs="宋体"/>
          <w:kern w:val="0"/>
          <w:sz w:val="24"/>
        </w:rPr>
        <w:t>隔夜铝价延续震荡偏弱，LME铝收于2085美元，沪铝1801收于15065，总持仓80.6万手增0.1万手。现货市场回顾，昨日上海成交集中14900-15050元/吨，对当月贴水120-100元/吨，无锡成</w:t>
      </w:r>
      <w:r w:rsidRPr="00110E36">
        <w:rPr>
          <w:rFonts w:ascii="宋体" w:hAnsi="宋体" w:cs="宋体"/>
          <w:kern w:val="0"/>
          <w:sz w:val="24"/>
        </w:rPr>
        <w:lastRenderedPageBreak/>
        <w:t>交集中14900-15050元/吨，杭州成交集中15080-15120元/吨。行业方面，据SMM了解，截止至本月20日，中铝贵州铝厂完成减产6万吨电解铝产能，预计下周末前完成停产12万吨目标，此外，属于置换贵铝的贵州华仁铝业，完成约10万吨电解铝产能量产，后续新增产能陆续通电中；国际铝业协会(IAI)周一公布的数据显示，10月全球（不包括中国）原铝日均产量增至70,300吨，9月修正为70,000吨。10月全球（不包括中国）原铝产量为217.9万吨，高于9月的210万吨。10月中国原铝日均产量降至82,100吨，9月为86,900吨。中国10月原铝总产量为254.6万吨，9月产量为260.6万吨。关于魏桥电解铝变相豁免减产的消息仍在发酵，另社会库存居高不下同时现货贴水小幅扩大，市场担忧氧化铝价格下跌后引发铝价继续下挫。操作上来说，利空因素仍未完全消化，沪铝或延续弱势表现，关注1.5万支撑位有效性。（仅供参考）</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镍：</w:t>
      </w:r>
    </w:p>
    <w:p w:rsidR="00110E36" w:rsidRDefault="00110E36" w:rsidP="00110E36">
      <w:pPr>
        <w:widowControl/>
        <w:jc w:val="left"/>
        <w:rPr>
          <w:rFonts w:ascii="宋体" w:hAnsi="宋体" w:cs="宋体" w:hint="eastAsia"/>
          <w:noProof/>
          <w:kern w:val="0"/>
          <w:sz w:val="24"/>
        </w:rPr>
      </w:pPr>
      <w:r w:rsidRPr="00110E36">
        <w:rPr>
          <w:rFonts w:ascii="宋体" w:hAnsi="宋体" w:cs="宋体"/>
          <w:kern w:val="0"/>
          <w:sz w:val="24"/>
        </w:rPr>
        <w:t>隔夜LME镍收于11670，涨75，涨幅0.65%；库存379890，减1368，镍板库存继续下降。外电11月20日消息，国际镍业研究组织（INSG）周一公布的数据显示，全球镍市场9月供应缺口微降至6100吨，8月修正后为短缺6300吨。2017年1-9月，全球精炼镍缺口从全的同期4.9万吨扩大至5.43万吨。镍进口窗口已连续打开数个交易日，且沪镍1801合约单边持仓已降至12万手以下，逼仓风险进一步下降，但沪镍仓单总量连续下降，目前已降至3.31万吨，因此软逼仓风险并不能完全解除。当前300系不锈钢现货价格已经倒挂钢厂月度成本线500元/吨左右，预计钢厂12月成本线将贴近当前的现货行情，则钢厂打压以镍为代表的原料端价格的可能性仍存，结合国内中、高镍铁产量创42个月来的新高的现实，这为钢厂打压原料提供了可能。当前，华东地区的不锈钢库存在连续增加，钢厂交货较为急切，而市场提货积极性并不高，这将成为垒库发生的隐患。镍价回调状态下，利于激发钢厂原料补库的热情；同时，不锈钢现货成本倒挂的局面可促使市场、终端备库需求增加，整体接货需求仍偏谨慎。这两个因素的存在将影响盘面的拉锯，预计短期走势偏震荡，中期不锈钢垒库逻辑依旧使得镍价预期偏空。（仅供参考）</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每日早盘观察-农产品-20171121</w:t>
      </w:r>
    </w:p>
    <w:p w:rsidR="00110E36" w:rsidRDefault="00110E36" w:rsidP="00110E36">
      <w:pPr>
        <w:widowControl/>
        <w:jc w:val="left"/>
        <w:rPr>
          <w:rFonts w:ascii="宋体" w:hAnsi="宋体" w:cs="宋体" w:hint="eastAsia"/>
          <w:kern w:val="0"/>
          <w:sz w:val="24"/>
        </w:rPr>
      </w:pPr>
      <w:r w:rsidRPr="00110E36">
        <w:rPr>
          <w:rFonts w:ascii="宋体" w:hAnsi="宋体" w:cs="宋体"/>
          <w:kern w:val="0"/>
          <w:sz w:val="24"/>
        </w:rPr>
        <w:t>https://www.yhqh.com.cn/yhty/nongchanpin/102605.html </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【贵金属】11月21日 周二</w:t>
      </w:r>
      <w:r w:rsidRPr="00110E36">
        <w:rPr>
          <w:rFonts w:ascii="宋体" w:hAnsi="宋体" w:cs="宋体"/>
          <w:kern w:val="0"/>
          <w:sz w:val="24"/>
        </w:rPr>
        <w:br/>
        <w:t>昨日，受消息面和技术面遇阻强压位影响，金银价格承压下跌，跌至下方强支撑企稳。昨日德国政局出现动荡，欧元遭到抛售，美元走强；此外，前期的“通俄门”和美朝问题引发的避险情绪也开始消退，金银下方支撑较弱，外盘黄金再次跌回1280下方。</w:t>
      </w:r>
      <w:r w:rsidRPr="00110E36">
        <w:rPr>
          <w:rFonts w:ascii="宋体" w:hAnsi="宋体" w:cs="宋体"/>
          <w:kern w:val="0"/>
          <w:sz w:val="24"/>
        </w:rPr>
        <w:br/>
        <w:t>据新华社报道，德国自由民主党上周日突然宣布退出正在进行的组阁谈判，标志着由总理默克尔领导的联盟党与自民党、绿党组成联合政府的方案以失败告终。在德国大选结束近两个月后，德国政坛再次面临不确定性。</w:t>
      </w:r>
      <w:r w:rsidRPr="00110E36">
        <w:rPr>
          <w:rFonts w:ascii="宋体" w:hAnsi="宋体" w:cs="宋体"/>
          <w:kern w:val="0"/>
          <w:sz w:val="24"/>
        </w:rPr>
        <w:br/>
        <w:t>周一(11月20日)美市盘中，德国总理默克尔在接受ARD电视台采访时表示，默克尔对少数派政府“表示怀疑”，因为其可能不会带来必要的稳定，她更愿意举行新的联邦选举，而不是试图组建一个少数党政府。默克尔作出这一表态之后，金价随之下跌。</w:t>
      </w:r>
      <w:r w:rsidRPr="00110E36">
        <w:rPr>
          <w:rFonts w:ascii="宋体" w:hAnsi="宋体" w:cs="宋体"/>
          <w:kern w:val="0"/>
          <w:sz w:val="24"/>
        </w:rPr>
        <w:br/>
        <w:t>此前助推金银的“通俄门”也有缓和。周一，美国众议院监督和政府改革委员会主席杰森·查菲茨在接受美国福克斯新闻频道采访时称，美国国会在调查俄罗斯干涉美国2016年大选过程中，并没有找到特朗普团队通俄的证据。同时，美联邦调查局和司法部也未能证实特朗普团队通俄的真实性。虽然缺乏相关证据，但反对特朗普的势力必将让“通俄门”延续。</w:t>
      </w:r>
      <w:r w:rsidRPr="00110E36">
        <w:rPr>
          <w:rFonts w:ascii="宋体" w:hAnsi="宋体" w:cs="宋体"/>
          <w:kern w:val="0"/>
          <w:sz w:val="24"/>
        </w:rPr>
        <w:br/>
      </w:r>
      <w:r w:rsidRPr="00110E36">
        <w:rPr>
          <w:rFonts w:ascii="宋体" w:hAnsi="宋体" w:cs="宋体"/>
          <w:kern w:val="0"/>
          <w:sz w:val="24"/>
        </w:rPr>
        <w:lastRenderedPageBreak/>
        <w:t>美国税改方面，特朗普做出了让步。美国白宫预算管理局局长马瓦尼表示，总统特朗普将放弃把“废除奥巴马政府时期的强制医保”条例加入税改提案。该条例被认为是税改法案获得通过的一大阻碍，虽然特朗普强硬态度有所缓和，但税改前景仍然存在较大的不确定性。如果税改进程最终无法通过将助推金银价格走高。</w:t>
      </w:r>
      <w:r w:rsidRPr="00110E36">
        <w:rPr>
          <w:rFonts w:ascii="宋体" w:hAnsi="宋体" w:cs="宋体"/>
          <w:kern w:val="0"/>
          <w:sz w:val="24"/>
        </w:rPr>
        <w:br/>
        <w:t>此外，美国联邦储备委员会周一发布消息称，美联储主席耶伦向特朗普提交辞呈，辞去美联储理事职务，该辞职申请将在新任美联储主席就职后生效。虽然按照规定耶伦卸任之后，仍有资格担任美联储理事，但她表示无意继续担任。</w:t>
      </w:r>
      <w:r w:rsidRPr="00110E36">
        <w:rPr>
          <w:rFonts w:ascii="宋体" w:hAnsi="宋体" w:cs="宋体"/>
          <w:kern w:val="0"/>
          <w:sz w:val="24"/>
        </w:rPr>
        <w:br/>
        <w:t>持仓方面， SPDR黄金ETF与SLV白银ETF持仓依然保持不变，分别为843.39吨和9893.21吨。美国12月加息概率依然为91.5%。</w:t>
      </w:r>
      <w:r w:rsidRPr="00110E36">
        <w:rPr>
          <w:rFonts w:ascii="宋体" w:hAnsi="宋体" w:cs="宋体"/>
          <w:kern w:val="0"/>
          <w:sz w:val="24"/>
        </w:rPr>
        <w:br/>
        <w:t>今日数据面相对比较清淡，因此主要关注点依然是在近期的风险事件，若避险情绪再度抬头则可能再度上冲，否则区间震荡概率较大。技术面上，伦敦金注意下方1275一线支撑；伦敦银下方支撑在16.8；内盘方面，近期黄金走势较为强劲，沪金指数注意下方支撑277，沪银指数下方支撑在3900。（仅供参考）</w:t>
      </w:r>
      <w:r w:rsidRPr="00110E36">
        <w:rPr>
          <w:rFonts w:ascii="宋体" w:hAnsi="宋体" w:cs="宋体"/>
          <w:kern w:val="0"/>
          <w:sz w:val="24"/>
        </w:rPr>
        <w:br/>
      </w:r>
    </w:p>
    <w:p w:rsidR="00110E36" w:rsidRDefault="00110E36" w:rsidP="00110E36">
      <w:pPr>
        <w:widowControl/>
        <w:jc w:val="left"/>
        <w:rPr>
          <w:rFonts w:ascii="宋体" w:hAnsi="宋体" w:cs="宋体" w:hint="eastAsia"/>
          <w:kern w:val="0"/>
          <w:sz w:val="24"/>
        </w:rPr>
      </w:pPr>
      <w:r w:rsidRPr="00110E36">
        <w:rPr>
          <w:rFonts w:ascii="宋体" w:hAnsi="宋体" w:cs="宋体" w:hint="eastAsia"/>
          <w:b/>
          <w:color w:val="FF0000"/>
          <w:kern w:val="0"/>
          <w:sz w:val="24"/>
        </w:rPr>
        <w:t>铜:</w:t>
      </w:r>
      <w:r w:rsidRPr="00110E36">
        <w:rPr>
          <w:rFonts w:ascii="宋体" w:hAnsi="宋体" w:cs="宋体"/>
          <w:kern w:val="0"/>
          <w:sz w:val="24"/>
        </w:rPr>
        <w:br/>
        <w:t>隔夜伦铜大幅上行，收6838美元/吨，涨38美元/吨，涨幅0.56%，仓减1313手至30.8万手。宏观方面，美联储主席耶伦周一向特朗普递交辞呈，表示一旦鲍威尔宣誓就任美联储主席她就会离职，辞去美联储理事职务。德国政府组阁谈判周日破裂，总统敦促各党派找到办法避免重新选举；社民党支持重新选举。隔夜美元探底回升。产业方面，ICSG表示，8月全球精炼铜供应过剩8.5万吨，7月供应缺口为0.7万吨。今日现货方面，货源充裕，出货困难的局面难以改变，预计今日贴水180元/吨-贴水90元/吨。盘面上来看，隔夜有色板块整体来看氛围偏暖，伦铜大幅上涨，今日现货方面拖累铜价涨势，预计今日向下回调修正，建议逢高做空。</w:t>
      </w:r>
      <w:r w:rsidRPr="00110E36">
        <w:rPr>
          <w:rFonts w:ascii="宋体" w:hAnsi="宋体" w:cs="宋体"/>
          <w:kern w:val="0"/>
          <w:sz w:val="24"/>
        </w:rPr>
        <w:br/>
      </w:r>
      <w:r w:rsidRPr="00110E36">
        <w:rPr>
          <w:rFonts w:ascii="宋体" w:hAnsi="宋体" w:cs="宋体"/>
          <w:kern w:val="0"/>
          <w:sz w:val="24"/>
        </w:rPr>
        <w:br/>
      </w:r>
      <w:r w:rsidRPr="00110E36">
        <w:rPr>
          <w:rFonts w:ascii="宋体" w:hAnsi="宋体" w:cs="宋体"/>
          <w:b/>
          <w:color w:val="FF0000"/>
          <w:kern w:val="0"/>
          <w:sz w:val="24"/>
        </w:rPr>
        <w:t>国债：</w:t>
      </w:r>
    </w:p>
    <w:p w:rsidR="00110E36" w:rsidRPr="00110E36" w:rsidRDefault="00110E36" w:rsidP="00110E36">
      <w:pPr>
        <w:widowControl/>
        <w:jc w:val="left"/>
        <w:rPr>
          <w:rFonts w:ascii="宋体" w:hAnsi="宋体" w:cs="宋体"/>
          <w:kern w:val="0"/>
          <w:sz w:val="24"/>
        </w:rPr>
      </w:pPr>
      <w:r w:rsidRPr="00110E36">
        <w:rPr>
          <w:rFonts w:ascii="宋体" w:hAnsi="宋体" w:cs="宋体"/>
          <w:kern w:val="0"/>
          <w:sz w:val="24"/>
        </w:rPr>
        <w:t>周二（11月21日），行情走势回顾：周一国债期货低开高走，冲高回落，全天维持低位震荡，尾盘再次冲高上扬，主力合约TF1803收于96.350，下跌0.01%，成交量有所回升，持仓量有所下滑，移仓换月继续。央行公开市场操作：央行周一进行进行700亿7天、200亿14天和100亿63天逆回购操作，银行间回购利率和Shibor利率涨跌互现。宏观基本面消息：（1）资管新规或致场外配资走向终结。业内人士认为，新规出台后，近几年在市场流行的结构化配资模式将趋于消退。这一举措有助于资本市场防风险、降杠杆，对资本市场的长期稳健发展产生积极作用，但可能对股市、债市产生短期局部不利影响。因此建议审慎评估相关连锁反应。（2）农发行两期固息增发债中标收益率低于中债估值，需求尚可。农发行3年期固息增发债中标收益率4.5625%，全场倍数3.18，边际倍数1.93；农发行5年期固息增发债中标收益率4.6704%，全场倍数2.35，边际倍数1.98。行情走势预期：央行周一进行进行700亿7天、200亿14天和100亿63天逆回购操作，当日有800亿逆回购到期，单日净投放200亿。由于前期市场已经在消化监管预期，所以周一资管新规和央行三季度货币政策并未对市场造成超预期的负面影响，市场整体表现还算理性。只不过，我们现在仍不确定市场是不是真正完全理解了而且消化了资管新规对于禁止银行理财使用成本法估值以及与之相关的禁止投资非标与刚性兑付可能对于银行理财产生的束缚力度，目前尚不能认为利空已经完全被消化，特别是叠加央行三季度货币政策报告关于打压“滚隔夜”等期限错配交易策略，市场对于四季度资金成本预期高出了三季度一大截，虽然周一五年期国债期货主力合约依然稳定在十日均线上方，依然存在最后一跌的风险。</w:t>
      </w:r>
    </w:p>
    <w:p w:rsidR="0093507D" w:rsidRPr="0093507D" w:rsidRDefault="0093507D" w:rsidP="004E54FD">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E3" w:rsidRDefault="00C473E3">
      <w:r>
        <w:separator/>
      </w:r>
    </w:p>
  </w:endnote>
  <w:endnote w:type="continuationSeparator" w:id="1">
    <w:p w:rsidR="00C473E3" w:rsidRDefault="00C47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2A3C4C">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2A3C4C">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110E36">
      <w:rPr>
        <w:rStyle w:val="a3"/>
        <w:noProof/>
      </w:rPr>
      <w:t>7</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E3" w:rsidRDefault="00C473E3">
      <w:r>
        <w:separator/>
      </w:r>
    </w:p>
  </w:footnote>
  <w:footnote w:type="continuationSeparator" w:id="1">
    <w:p w:rsidR="00C473E3" w:rsidRDefault="00C47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6966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43C3"/>
    <w:rsid w:val="000051FA"/>
    <w:rsid w:val="00005F72"/>
    <w:rsid w:val="000069A7"/>
    <w:rsid w:val="00011C15"/>
    <w:rsid w:val="00012A50"/>
    <w:rsid w:val="00012AD8"/>
    <w:rsid w:val="000154C2"/>
    <w:rsid w:val="00015DFF"/>
    <w:rsid w:val="00015E69"/>
    <w:rsid w:val="0001711D"/>
    <w:rsid w:val="00017EDB"/>
    <w:rsid w:val="00020A28"/>
    <w:rsid w:val="000220B3"/>
    <w:rsid w:val="0002429B"/>
    <w:rsid w:val="0003137A"/>
    <w:rsid w:val="00031432"/>
    <w:rsid w:val="00031E07"/>
    <w:rsid w:val="00033418"/>
    <w:rsid w:val="00035675"/>
    <w:rsid w:val="00040437"/>
    <w:rsid w:val="00041EEF"/>
    <w:rsid w:val="000426C6"/>
    <w:rsid w:val="0004351C"/>
    <w:rsid w:val="00044D19"/>
    <w:rsid w:val="00046644"/>
    <w:rsid w:val="0004790A"/>
    <w:rsid w:val="000505CA"/>
    <w:rsid w:val="00050EC8"/>
    <w:rsid w:val="00052B87"/>
    <w:rsid w:val="00053F14"/>
    <w:rsid w:val="000549AC"/>
    <w:rsid w:val="00055908"/>
    <w:rsid w:val="00055FA7"/>
    <w:rsid w:val="00056F48"/>
    <w:rsid w:val="00057CAB"/>
    <w:rsid w:val="00057F6D"/>
    <w:rsid w:val="00061C67"/>
    <w:rsid w:val="000622FE"/>
    <w:rsid w:val="00062C99"/>
    <w:rsid w:val="000631C6"/>
    <w:rsid w:val="00065516"/>
    <w:rsid w:val="00065893"/>
    <w:rsid w:val="0006609F"/>
    <w:rsid w:val="00066C21"/>
    <w:rsid w:val="00067BA7"/>
    <w:rsid w:val="00070A89"/>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3D54"/>
    <w:rsid w:val="000A4E63"/>
    <w:rsid w:val="000A5B1B"/>
    <w:rsid w:val="000A7FFE"/>
    <w:rsid w:val="000B07A6"/>
    <w:rsid w:val="000B1CB3"/>
    <w:rsid w:val="000B42D6"/>
    <w:rsid w:val="000B5979"/>
    <w:rsid w:val="000B67F8"/>
    <w:rsid w:val="000B78EC"/>
    <w:rsid w:val="000B7E19"/>
    <w:rsid w:val="000C1FAA"/>
    <w:rsid w:val="000C420F"/>
    <w:rsid w:val="000C55BA"/>
    <w:rsid w:val="000C5F34"/>
    <w:rsid w:val="000C7FCC"/>
    <w:rsid w:val="000D08BD"/>
    <w:rsid w:val="000D1F64"/>
    <w:rsid w:val="000D419A"/>
    <w:rsid w:val="000D4939"/>
    <w:rsid w:val="000D5E79"/>
    <w:rsid w:val="000D7624"/>
    <w:rsid w:val="000E0096"/>
    <w:rsid w:val="000E0E1C"/>
    <w:rsid w:val="000E13CF"/>
    <w:rsid w:val="000E260C"/>
    <w:rsid w:val="000E31CE"/>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2B63"/>
    <w:rsid w:val="001040F0"/>
    <w:rsid w:val="001073C6"/>
    <w:rsid w:val="001106E0"/>
    <w:rsid w:val="00110E36"/>
    <w:rsid w:val="001123E2"/>
    <w:rsid w:val="001127EF"/>
    <w:rsid w:val="00113E67"/>
    <w:rsid w:val="00114034"/>
    <w:rsid w:val="00114AA0"/>
    <w:rsid w:val="0011590E"/>
    <w:rsid w:val="0011691A"/>
    <w:rsid w:val="00120983"/>
    <w:rsid w:val="001210E7"/>
    <w:rsid w:val="001213CF"/>
    <w:rsid w:val="00123DF7"/>
    <w:rsid w:val="00125658"/>
    <w:rsid w:val="00127898"/>
    <w:rsid w:val="00130A63"/>
    <w:rsid w:val="00131C4B"/>
    <w:rsid w:val="00134787"/>
    <w:rsid w:val="00135B37"/>
    <w:rsid w:val="001372F1"/>
    <w:rsid w:val="00140028"/>
    <w:rsid w:val="001405CE"/>
    <w:rsid w:val="00143C79"/>
    <w:rsid w:val="001441C6"/>
    <w:rsid w:val="00144296"/>
    <w:rsid w:val="00145833"/>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B0C6E"/>
    <w:rsid w:val="001B23BE"/>
    <w:rsid w:val="001B2537"/>
    <w:rsid w:val="001B2A0B"/>
    <w:rsid w:val="001B46B4"/>
    <w:rsid w:val="001B470A"/>
    <w:rsid w:val="001B4EF8"/>
    <w:rsid w:val="001B6CB0"/>
    <w:rsid w:val="001C21B6"/>
    <w:rsid w:val="001C2D42"/>
    <w:rsid w:val="001C2FDF"/>
    <w:rsid w:val="001C4E24"/>
    <w:rsid w:val="001C52CF"/>
    <w:rsid w:val="001C5B15"/>
    <w:rsid w:val="001C6849"/>
    <w:rsid w:val="001C7F8C"/>
    <w:rsid w:val="001D0285"/>
    <w:rsid w:val="001E112F"/>
    <w:rsid w:val="001E26AD"/>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C0"/>
    <w:rsid w:val="002148DC"/>
    <w:rsid w:val="00215311"/>
    <w:rsid w:val="00215D98"/>
    <w:rsid w:val="002169A8"/>
    <w:rsid w:val="00216BB6"/>
    <w:rsid w:val="0022134B"/>
    <w:rsid w:val="002218D9"/>
    <w:rsid w:val="00224344"/>
    <w:rsid w:val="00224762"/>
    <w:rsid w:val="002254AD"/>
    <w:rsid w:val="0022559F"/>
    <w:rsid w:val="00226069"/>
    <w:rsid w:val="00226726"/>
    <w:rsid w:val="00226C9C"/>
    <w:rsid w:val="00232017"/>
    <w:rsid w:val="00232066"/>
    <w:rsid w:val="00233CFF"/>
    <w:rsid w:val="00234E45"/>
    <w:rsid w:val="00235A79"/>
    <w:rsid w:val="00237C0C"/>
    <w:rsid w:val="002402EC"/>
    <w:rsid w:val="00241787"/>
    <w:rsid w:val="00241DFE"/>
    <w:rsid w:val="00243D0A"/>
    <w:rsid w:val="00244B46"/>
    <w:rsid w:val="0024575E"/>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53B0"/>
    <w:rsid w:val="00266BFE"/>
    <w:rsid w:val="00267073"/>
    <w:rsid w:val="00267CE8"/>
    <w:rsid w:val="00267CF4"/>
    <w:rsid w:val="002702D5"/>
    <w:rsid w:val="00270677"/>
    <w:rsid w:val="00270D83"/>
    <w:rsid w:val="00270EFF"/>
    <w:rsid w:val="00271930"/>
    <w:rsid w:val="00271C2C"/>
    <w:rsid w:val="00271C3D"/>
    <w:rsid w:val="0027229F"/>
    <w:rsid w:val="0027268F"/>
    <w:rsid w:val="00275EF7"/>
    <w:rsid w:val="00276434"/>
    <w:rsid w:val="002825EA"/>
    <w:rsid w:val="00282BA9"/>
    <w:rsid w:val="00282C16"/>
    <w:rsid w:val="00282D97"/>
    <w:rsid w:val="0028374C"/>
    <w:rsid w:val="00285C0E"/>
    <w:rsid w:val="00286368"/>
    <w:rsid w:val="0028682F"/>
    <w:rsid w:val="00287381"/>
    <w:rsid w:val="002875D1"/>
    <w:rsid w:val="00287A99"/>
    <w:rsid w:val="00287CF8"/>
    <w:rsid w:val="00291464"/>
    <w:rsid w:val="002914E7"/>
    <w:rsid w:val="0029177A"/>
    <w:rsid w:val="00292A32"/>
    <w:rsid w:val="00294F64"/>
    <w:rsid w:val="00297759"/>
    <w:rsid w:val="002A15E1"/>
    <w:rsid w:val="002A307F"/>
    <w:rsid w:val="002A3765"/>
    <w:rsid w:val="002A39C6"/>
    <w:rsid w:val="002A3C4C"/>
    <w:rsid w:val="002A4A63"/>
    <w:rsid w:val="002A4ED3"/>
    <w:rsid w:val="002A4F39"/>
    <w:rsid w:val="002A60D8"/>
    <w:rsid w:val="002A6989"/>
    <w:rsid w:val="002B6305"/>
    <w:rsid w:val="002B7341"/>
    <w:rsid w:val="002C00B6"/>
    <w:rsid w:val="002C0563"/>
    <w:rsid w:val="002C1597"/>
    <w:rsid w:val="002C1CD9"/>
    <w:rsid w:val="002C2B73"/>
    <w:rsid w:val="002C54BD"/>
    <w:rsid w:val="002C5938"/>
    <w:rsid w:val="002D16F3"/>
    <w:rsid w:val="002D2BF8"/>
    <w:rsid w:val="002D4414"/>
    <w:rsid w:val="002D579E"/>
    <w:rsid w:val="002D57C2"/>
    <w:rsid w:val="002D5E32"/>
    <w:rsid w:val="002D72C1"/>
    <w:rsid w:val="002E0E7C"/>
    <w:rsid w:val="002E110C"/>
    <w:rsid w:val="002E2625"/>
    <w:rsid w:val="002E2D44"/>
    <w:rsid w:val="002E395A"/>
    <w:rsid w:val="002E3BE4"/>
    <w:rsid w:val="002E44A7"/>
    <w:rsid w:val="002E780E"/>
    <w:rsid w:val="002E7843"/>
    <w:rsid w:val="002F2826"/>
    <w:rsid w:val="002F3068"/>
    <w:rsid w:val="002F3886"/>
    <w:rsid w:val="002F3D85"/>
    <w:rsid w:val="002F555E"/>
    <w:rsid w:val="002F5773"/>
    <w:rsid w:val="002F6AC8"/>
    <w:rsid w:val="002F71C2"/>
    <w:rsid w:val="002F7520"/>
    <w:rsid w:val="00300F90"/>
    <w:rsid w:val="00303504"/>
    <w:rsid w:val="003038DE"/>
    <w:rsid w:val="00303F3C"/>
    <w:rsid w:val="003060EF"/>
    <w:rsid w:val="003105A7"/>
    <w:rsid w:val="00311D14"/>
    <w:rsid w:val="00312356"/>
    <w:rsid w:val="00317164"/>
    <w:rsid w:val="0032018A"/>
    <w:rsid w:val="00321503"/>
    <w:rsid w:val="003215C8"/>
    <w:rsid w:val="00324623"/>
    <w:rsid w:val="00324F25"/>
    <w:rsid w:val="0032604F"/>
    <w:rsid w:val="00326E0D"/>
    <w:rsid w:val="00327603"/>
    <w:rsid w:val="00333677"/>
    <w:rsid w:val="003348D3"/>
    <w:rsid w:val="00335194"/>
    <w:rsid w:val="0033652B"/>
    <w:rsid w:val="00337C88"/>
    <w:rsid w:val="00341B81"/>
    <w:rsid w:val="00342CFC"/>
    <w:rsid w:val="0034341B"/>
    <w:rsid w:val="00344EC2"/>
    <w:rsid w:val="0034539B"/>
    <w:rsid w:val="00345ED8"/>
    <w:rsid w:val="00346294"/>
    <w:rsid w:val="00346E9B"/>
    <w:rsid w:val="00347E30"/>
    <w:rsid w:val="00347EE5"/>
    <w:rsid w:val="0035121D"/>
    <w:rsid w:val="003529C1"/>
    <w:rsid w:val="00353CF1"/>
    <w:rsid w:val="003561E3"/>
    <w:rsid w:val="003566E8"/>
    <w:rsid w:val="00360859"/>
    <w:rsid w:val="00360D56"/>
    <w:rsid w:val="00360EBD"/>
    <w:rsid w:val="00361038"/>
    <w:rsid w:val="00361C32"/>
    <w:rsid w:val="00362FC6"/>
    <w:rsid w:val="00365504"/>
    <w:rsid w:val="003664DA"/>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8606B"/>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BF7"/>
    <w:rsid w:val="003C4E87"/>
    <w:rsid w:val="003C521B"/>
    <w:rsid w:val="003C54B1"/>
    <w:rsid w:val="003C6D33"/>
    <w:rsid w:val="003C6F00"/>
    <w:rsid w:val="003C7CF0"/>
    <w:rsid w:val="003D179F"/>
    <w:rsid w:val="003D28B3"/>
    <w:rsid w:val="003D33C2"/>
    <w:rsid w:val="003D4C83"/>
    <w:rsid w:val="003D6C26"/>
    <w:rsid w:val="003D6C2A"/>
    <w:rsid w:val="003E063E"/>
    <w:rsid w:val="003E1D6D"/>
    <w:rsid w:val="003E379B"/>
    <w:rsid w:val="003F08FA"/>
    <w:rsid w:val="003F1FFF"/>
    <w:rsid w:val="003F2E3F"/>
    <w:rsid w:val="003F34A6"/>
    <w:rsid w:val="003F3B64"/>
    <w:rsid w:val="003F51F6"/>
    <w:rsid w:val="003F6689"/>
    <w:rsid w:val="003F6903"/>
    <w:rsid w:val="004014E9"/>
    <w:rsid w:val="004017C1"/>
    <w:rsid w:val="00402DB1"/>
    <w:rsid w:val="004031C2"/>
    <w:rsid w:val="00403D8F"/>
    <w:rsid w:val="00405248"/>
    <w:rsid w:val="00405AF7"/>
    <w:rsid w:val="004071D2"/>
    <w:rsid w:val="004103B6"/>
    <w:rsid w:val="00410F24"/>
    <w:rsid w:val="004118C3"/>
    <w:rsid w:val="00411B3A"/>
    <w:rsid w:val="00411B71"/>
    <w:rsid w:val="0041248A"/>
    <w:rsid w:val="00412F41"/>
    <w:rsid w:val="00416C37"/>
    <w:rsid w:val="00416EC2"/>
    <w:rsid w:val="00417004"/>
    <w:rsid w:val="004210E1"/>
    <w:rsid w:val="00431650"/>
    <w:rsid w:val="00431A32"/>
    <w:rsid w:val="00431EEF"/>
    <w:rsid w:val="00433656"/>
    <w:rsid w:val="004340F4"/>
    <w:rsid w:val="00442DDD"/>
    <w:rsid w:val="00443E7E"/>
    <w:rsid w:val="00450259"/>
    <w:rsid w:val="004506FB"/>
    <w:rsid w:val="004509E2"/>
    <w:rsid w:val="00451BE6"/>
    <w:rsid w:val="0045214C"/>
    <w:rsid w:val="004533E5"/>
    <w:rsid w:val="004566C7"/>
    <w:rsid w:val="0045711A"/>
    <w:rsid w:val="00460D18"/>
    <w:rsid w:val="00461188"/>
    <w:rsid w:val="0046143A"/>
    <w:rsid w:val="00463EAA"/>
    <w:rsid w:val="00465ADC"/>
    <w:rsid w:val="00466E7B"/>
    <w:rsid w:val="00471179"/>
    <w:rsid w:val="0047583C"/>
    <w:rsid w:val="00475BF2"/>
    <w:rsid w:val="0047625A"/>
    <w:rsid w:val="004769B0"/>
    <w:rsid w:val="00477682"/>
    <w:rsid w:val="00477AA4"/>
    <w:rsid w:val="00477C12"/>
    <w:rsid w:val="00486E26"/>
    <w:rsid w:val="00486F4D"/>
    <w:rsid w:val="0048733C"/>
    <w:rsid w:val="00487E2D"/>
    <w:rsid w:val="00487E68"/>
    <w:rsid w:val="004904C3"/>
    <w:rsid w:val="00490A7B"/>
    <w:rsid w:val="00492325"/>
    <w:rsid w:val="004952CD"/>
    <w:rsid w:val="00495BA6"/>
    <w:rsid w:val="00497743"/>
    <w:rsid w:val="004A0144"/>
    <w:rsid w:val="004A0149"/>
    <w:rsid w:val="004A1A25"/>
    <w:rsid w:val="004A1EF6"/>
    <w:rsid w:val="004A43E1"/>
    <w:rsid w:val="004A6932"/>
    <w:rsid w:val="004B02BA"/>
    <w:rsid w:val="004B0EE0"/>
    <w:rsid w:val="004B1512"/>
    <w:rsid w:val="004B3205"/>
    <w:rsid w:val="004B4227"/>
    <w:rsid w:val="004B56B0"/>
    <w:rsid w:val="004B76E0"/>
    <w:rsid w:val="004C0A9C"/>
    <w:rsid w:val="004C0B75"/>
    <w:rsid w:val="004C2548"/>
    <w:rsid w:val="004C30DE"/>
    <w:rsid w:val="004C3675"/>
    <w:rsid w:val="004C775B"/>
    <w:rsid w:val="004D1505"/>
    <w:rsid w:val="004D2105"/>
    <w:rsid w:val="004D39AE"/>
    <w:rsid w:val="004D3ACF"/>
    <w:rsid w:val="004D5D34"/>
    <w:rsid w:val="004D6C6D"/>
    <w:rsid w:val="004E1436"/>
    <w:rsid w:val="004E54FD"/>
    <w:rsid w:val="004E7EF3"/>
    <w:rsid w:val="004F175F"/>
    <w:rsid w:val="004F2DA3"/>
    <w:rsid w:val="004F31BA"/>
    <w:rsid w:val="004F5339"/>
    <w:rsid w:val="004F70A9"/>
    <w:rsid w:val="004F77D4"/>
    <w:rsid w:val="004F7E78"/>
    <w:rsid w:val="004F7EFD"/>
    <w:rsid w:val="004F7FC7"/>
    <w:rsid w:val="00500680"/>
    <w:rsid w:val="00500F44"/>
    <w:rsid w:val="005013E1"/>
    <w:rsid w:val="00501DEE"/>
    <w:rsid w:val="0050493A"/>
    <w:rsid w:val="005059D8"/>
    <w:rsid w:val="005073C8"/>
    <w:rsid w:val="00510875"/>
    <w:rsid w:val="005145E2"/>
    <w:rsid w:val="005148FF"/>
    <w:rsid w:val="00516048"/>
    <w:rsid w:val="005170FA"/>
    <w:rsid w:val="005178B4"/>
    <w:rsid w:val="00517A64"/>
    <w:rsid w:val="005204A9"/>
    <w:rsid w:val="0052594B"/>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3B83"/>
    <w:rsid w:val="0054453D"/>
    <w:rsid w:val="005455BD"/>
    <w:rsid w:val="005511BD"/>
    <w:rsid w:val="005512EC"/>
    <w:rsid w:val="005529B9"/>
    <w:rsid w:val="00555C2D"/>
    <w:rsid w:val="005609F5"/>
    <w:rsid w:val="00560A52"/>
    <w:rsid w:val="005618D6"/>
    <w:rsid w:val="00563973"/>
    <w:rsid w:val="005678DE"/>
    <w:rsid w:val="00571B06"/>
    <w:rsid w:val="00571D03"/>
    <w:rsid w:val="00571DAB"/>
    <w:rsid w:val="005721B1"/>
    <w:rsid w:val="005738C8"/>
    <w:rsid w:val="00573E7A"/>
    <w:rsid w:val="005751E3"/>
    <w:rsid w:val="005763FD"/>
    <w:rsid w:val="005769EC"/>
    <w:rsid w:val="005770FC"/>
    <w:rsid w:val="00580EDD"/>
    <w:rsid w:val="005810F4"/>
    <w:rsid w:val="00581504"/>
    <w:rsid w:val="00581DE0"/>
    <w:rsid w:val="005821EB"/>
    <w:rsid w:val="00582DE9"/>
    <w:rsid w:val="00583411"/>
    <w:rsid w:val="00583FD7"/>
    <w:rsid w:val="0058459A"/>
    <w:rsid w:val="00586E31"/>
    <w:rsid w:val="00593253"/>
    <w:rsid w:val="00594ED3"/>
    <w:rsid w:val="0059528C"/>
    <w:rsid w:val="00595A37"/>
    <w:rsid w:val="00597E7E"/>
    <w:rsid w:val="005A135D"/>
    <w:rsid w:val="005A176A"/>
    <w:rsid w:val="005A4848"/>
    <w:rsid w:val="005A5CA2"/>
    <w:rsid w:val="005B0311"/>
    <w:rsid w:val="005B1FBB"/>
    <w:rsid w:val="005B2498"/>
    <w:rsid w:val="005B37F5"/>
    <w:rsid w:val="005B42A2"/>
    <w:rsid w:val="005B54B8"/>
    <w:rsid w:val="005B70A7"/>
    <w:rsid w:val="005C1644"/>
    <w:rsid w:val="005C1F4A"/>
    <w:rsid w:val="005C3760"/>
    <w:rsid w:val="005C397A"/>
    <w:rsid w:val="005C57E4"/>
    <w:rsid w:val="005C631C"/>
    <w:rsid w:val="005C7849"/>
    <w:rsid w:val="005D200C"/>
    <w:rsid w:val="005D2985"/>
    <w:rsid w:val="005D2DF0"/>
    <w:rsid w:val="005D45DC"/>
    <w:rsid w:val="005D5EFA"/>
    <w:rsid w:val="005E245C"/>
    <w:rsid w:val="005E2611"/>
    <w:rsid w:val="005E4931"/>
    <w:rsid w:val="005E5E5C"/>
    <w:rsid w:val="005F065C"/>
    <w:rsid w:val="005F1B64"/>
    <w:rsid w:val="005F1C50"/>
    <w:rsid w:val="005F2CED"/>
    <w:rsid w:val="005F3888"/>
    <w:rsid w:val="005F45C8"/>
    <w:rsid w:val="005F47DF"/>
    <w:rsid w:val="005F6DA5"/>
    <w:rsid w:val="005F7494"/>
    <w:rsid w:val="00601ACD"/>
    <w:rsid w:val="00601D87"/>
    <w:rsid w:val="00601EB3"/>
    <w:rsid w:val="0060217E"/>
    <w:rsid w:val="00606A05"/>
    <w:rsid w:val="00607F60"/>
    <w:rsid w:val="00610274"/>
    <w:rsid w:val="0061328E"/>
    <w:rsid w:val="006158A2"/>
    <w:rsid w:val="00615CEE"/>
    <w:rsid w:val="0061660B"/>
    <w:rsid w:val="00616C17"/>
    <w:rsid w:val="00617E19"/>
    <w:rsid w:val="0062005A"/>
    <w:rsid w:val="00621C6F"/>
    <w:rsid w:val="006243CF"/>
    <w:rsid w:val="006264BB"/>
    <w:rsid w:val="00627117"/>
    <w:rsid w:val="0063198D"/>
    <w:rsid w:val="00631E48"/>
    <w:rsid w:val="00631F14"/>
    <w:rsid w:val="00634FB0"/>
    <w:rsid w:val="006354B3"/>
    <w:rsid w:val="006373C5"/>
    <w:rsid w:val="006438F3"/>
    <w:rsid w:val="0064533E"/>
    <w:rsid w:val="00645779"/>
    <w:rsid w:val="0064594C"/>
    <w:rsid w:val="0064784D"/>
    <w:rsid w:val="00650253"/>
    <w:rsid w:val="0065056F"/>
    <w:rsid w:val="006512DC"/>
    <w:rsid w:val="006541D0"/>
    <w:rsid w:val="00654DF4"/>
    <w:rsid w:val="006554F9"/>
    <w:rsid w:val="0065592A"/>
    <w:rsid w:val="00660221"/>
    <w:rsid w:val="0066065B"/>
    <w:rsid w:val="0066109A"/>
    <w:rsid w:val="00661350"/>
    <w:rsid w:val="00661C6B"/>
    <w:rsid w:val="006623B9"/>
    <w:rsid w:val="00662609"/>
    <w:rsid w:val="006628F2"/>
    <w:rsid w:val="00662AB3"/>
    <w:rsid w:val="00662CF9"/>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4DC5"/>
    <w:rsid w:val="006B5081"/>
    <w:rsid w:val="006B596D"/>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37E5"/>
    <w:rsid w:val="006F4826"/>
    <w:rsid w:val="006F4AF6"/>
    <w:rsid w:val="006F6542"/>
    <w:rsid w:val="006F72AC"/>
    <w:rsid w:val="00700DA1"/>
    <w:rsid w:val="00701BAA"/>
    <w:rsid w:val="00703371"/>
    <w:rsid w:val="007071E4"/>
    <w:rsid w:val="007105F0"/>
    <w:rsid w:val="007107D5"/>
    <w:rsid w:val="00711503"/>
    <w:rsid w:val="00711924"/>
    <w:rsid w:val="007129ED"/>
    <w:rsid w:val="00713E84"/>
    <w:rsid w:val="00715734"/>
    <w:rsid w:val="007166DB"/>
    <w:rsid w:val="0071718D"/>
    <w:rsid w:val="007175F4"/>
    <w:rsid w:val="007205F2"/>
    <w:rsid w:val="007216EF"/>
    <w:rsid w:val="007248C0"/>
    <w:rsid w:val="00724F65"/>
    <w:rsid w:val="00725F6B"/>
    <w:rsid w:val="0072628D"/>
    <w:rsid w:val="007266A1"/>
    <w:rsid w:val="007271C0"/>
    <w:rsid w:val="0072779A"/>
    <w:rsid w:val="00731906"/>
    <w:rsid w:val="007328D9"/>
    <w:rsid w:val="0073373A"/>
    <w:rsid w:val="0073374A"/>
    <w:rsid w:val="007338B3"/>
    <w:rsid w:val="00734715"/>
    <w:rsid w:val="00736B0D"/>
    <w:rsid w:val="00737C68"/>
    <w:rsid w:val="00737D83"/>
    <w:rsid w:val="00743736"/>
    <w:rsid w:val="00744192"/>
    <w:rsid w:val="00744517"/>
    <w:rsid w:val="00745127"/>
    <w:rsid w:val="00745293"/>
    <w:rsid w:val="00745E99"/>
    <w:rsid w:val="007460B5"/>
    <w:rsid w:val="0074778A"/>
    <w:rsid w:val="00747B1B"/>
    <w:rsid w:val="00751707"/>
    <w:rsid w:val="007549C3"/>
    <w:rsid w:val="00754CAE"/>
    <w:rsid w:val="00756B2C"/>
    <w:rsid w:val="0075711B"/>
    <w:rsid w:val="0075733C"/>
    <w:rsid w:val="007601C1"/>
    <w:rsid w:val="00761921"/>
    <w:rsid w:val="00762E98"/>
    <w:rsid w:val="00763861"/>
    <w:rsid w:val="00763939"/>
    <w:rsid w:val="00765A6F"/>
    <w:rsid w:val="00766183"/>
    <w:rsid w:val="00771249"/>
    <w:rsid w:val="00771F52"/>
    <w:rsid w:val="00772CE7"/>
    <w:rsid w:val="007752C8"/>
    <w:rsid w:val="007761B9"/>
    <w:rsid w:val="00777312"/>
    <w:rsid w:val="0078034F"/>
    <w:rsid w:val="00780606"/>
    <w:rsid w:val="00781DE1"/>
    <w:rsid w:val="00782234"/>
    <w:rsid w:val="00784352"/>
    <w:rsid w:val="00784CD3"/>
    <w:rsid w:val="007876E4"/>
    <w:rsid w:val="00790292"/>
    <w:rsid w:val="007905E7"/>
    <w:rsid w:val="00791006"/>
    <w:rsid w:val="00792538"/>
    <w:rsid w:val="00792871"/>
    <w:rsid w:val="00792FD9"/>
    <w:rsid w:val="007942A0"/>
    <w:rsid w:val="007947F5"/>
    <w:rsid w:val="00794B8A"/>
    <w:rsid w:val="007955C0"/>
    <w:rsid w:val="00797B6F"/>
    <w:rsid w:val="007A0AB2"/>
    <w:rsid w:val="007A2A5D"/>
    <w:rsid w:val="007A2FC2"/>
    <w:rsid w:val="007A313D"/>
    <w:rsid w:val="007A35DB"/>
    <w:rsid w:val="007A3F2C"/>
    <w:rsid w:val="007A58C7"/>
    <w:rsid w:val="007A607B"/>
    <w:rsid w:val="007B0ABC"/>
    <w:rsid w:val="007B34C8"/>
    <w:rsid w:val="007B41FA"/>
    <w:rsid w:val="007B42D6"/>
    <w:rsid w:val="007B50AA"/>
    <w:rsid w:val="007B599B"/>
    <w:rsid w:val="007B7E03"/>
    <w:rsid w:val="007C22A0"/>
    <w:rsid w:val="007C30EC"/>
    <w:rsid w:val="007C46F5"/>
    <w:rsid w:val="007C550B"/>
    <w:rsid w:val="007C576F"/>
    <w:rsid w:val="007D0748"/>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802D83"/>
    <w:rsid w:val="0080321D"/>
    <w:rsid w:val="00803237"/>
    <w:rsid w:val="008034D2"/>
    <w:rsid w:val="00803646"/>
    <w:rsid w:val="008036E5"/>
    <w:rsid w:val="00806449"/>
    <w:rsid w:val="0080669D"/>
    <w:rsid w:val="008075FC"/>
    <w:rsid w:val="00807AC9"/>
    <w:rsid w:val="00807B90"/>
    <w:rsid w:val="00812F8B"/>
    <w:rsid w:val="00813D41"/>
    <w:rsid w:val="00813E57"/>
    <w:rsid w:val="00814015"/>
    <w:rsid w:val="008145B7"/>
    <w:rsid w:val="00815342"/>
    <w:rsid w:val="00815906"/>
    <w:rsid w:val="00815C30"/>
    <w:rsid w:val="008171B6"/>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153C"/>
    <w:rsid w:val="00833C74"/>
    <w:rsid w:val="00834A0B"/>
    <w:rsid w:val="008350C5"/>
    <w:rsid w:val="0083740A"/>
    <w:rsid w:val="00837BA5"/>
    <w:rsid w:val="0084024C"/>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C7E"/>
    <w:rsid w:val="00860785"/>
    <w:rsid w:val="0086281D"/>
    <w:rsid w:val="008628D3"/>
    <w:rsid w:val="00863ABA"/>
    <w:rsid w:val="00863CFE"/>
    <w:rsid w:val="0086485E"/>
    <w:rsid w:val="0086713A"/>
    <w:rsid w:val="00871854"/>
    <w:rsid w:val="00872988"/>
    <w:rsid w:val="00872F86"/>
    <w:rsid w:val="008733C8"/>
    <w:rsid w:val="0087374A"/>
    <w:rsid w:val="00873D7A"/>
    <w:rsid w:val="008749B1"/>
    <w:rsid w:val="0087606C"/>
    <w:rsid w:val="00876426"/>
    <w:rsid w:val="00876961"/>
    <w:rsid w:val="00877533"/>
    <w:rsid w:val="00886125"/>
    <w:rsid w:val="008862DC"/>
    <w:rsid w:val="00886A36"/>
    <w:rsid w:val="008910DB"/>
    <w:rsid w:val="00891958"/>
    <w:rsid w:val="0089223A"/>
    <w:rsid w:val="0089258D"/>
    <w:rsid w:val="00892C4B"/>
    <w:rsid w:val="00893129"/>
    <w:rsid w:val="008945F2"/>
    <w:rsid w:val="00895C66"/>
    <w:rsid w:val="008A02A0"/>
    <w:rsid w:val="008A0C24"/>
    <w:rsid w:val="008A127F"/>
    <w:rsid w:val="008A17F5"/>
    <w:rsid w:val="008A38EA"/>
    <w:rsid w:val="008A39DD"/>
    <w:rsid w:val="008A4924"/>
    <w:rsid w:val="008A4C82"/>
    <w:rsid w:val="008A517E"/>
    <w:rsid w:val="008A575E"/>
    <w:rsid w:val="008B05E2"/>
    <w:rsid w:val="008B355F"/>
    <w:rsid w:val="008B3799"/>
    <w:rsid w:val="008B3F08"/>
    <w:rsid w:val="008B40A9"/>
    <w:rsid w:val="008B443A"/>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140"/>
    <w:rsid w:val="008D5EE2"/>
    <w:rsid w:val="008E007E"/>
    <w:rsid w:val="008E057B"/>
    <w:rsid w:val="008E0C94"/>
    <w:rsid w:val="008E12BA"/>
    <w:rsid w:val="008E3E12"/>
    <w:rsid w:val="008E5D65"/>
    <w:rsid w:val="008E7165"/>
    <w:rsid w:val="008E72B5"/>
    <w:rsid w:val="008E7A5E"/>
    <w:rsid w:val="008F1962"/>
    <w:rsid w:val="008F1CCA"/>
    <w:rsid w:val="008F25B6"/>
    <w:rsid w:val="008F264C"/>
    <w:rsid w:val="008F3A07"/>
    <w:rsid w:val="008F3A20"/>
    <w:rsid w:val="008F5961"/>
    <w:rsid w:val="008F69DF"/>
    <w:rsid w:val="008F6A0B"/>
    <w:rsid w:val="008F79FB"/>
    <w:rsid w:val="00901A0D"/>
    <w:rsid w:val="00901FBE"/>
    <w:rsid w:val="009033E6"/>
    <w:rsid w:val="009033F7"/>
    <w:rsid w:val="00903B8A"/>
    <w:rsid w:val="009046AC"/>
    <w:rsid w:val="009049BF"/>
    <w:rsid w:val="00904AAE"/>
    <w:rsid w:val="0090590A"/>
    <w:rsid w:val="00906661"/>
    <w:rsid w:val="00907C26"/>
    <w:rsid w:val="00910135"/>
    <w:rsid w:val="009117E3"/>
    <w:rsid w:val="00914309"/>
    <w:rsid w:val="0091540E"/>
    <w:rsid w:val="009155FA"/>
    <w:rsid w:val="0092133B"/>
    <w:rsid w:val="009228D8"/>
    <w:rsid w:val="00922A12"/>
    <w:rsid w:val="00924507"/>
    <w:rsid w:val="00924798"/>
    <w:rsid w:val="00924886"/>
    <w:rsid w:val="009248DA"/>
    <w:rsid w:val="00924C65"/>
    <w:rsid w:val="00925DE6"/>
    <w:rsid w:val="009303E3"/>
    <w:rsid w:val="00930B70"/>
    <w:rsid w:val="0093267C"/>
    <w:rsid w:val="00933A13"/>
    <w:rsid w:val="00933F20"/>
    <w:rsid w:val="00934B5F"/>
    <w:rsid w:val="0093507D"/>
    <w:rsid w:val="00935C24"/>
    <w:rsid w:val="0093620D"/>
    <w:rsid w:val="00936ACB"/>
    <w:rsid w:val="00937B5C"/>
    <w:rsid w:val="0094100C"/>
    <w:rsid w:val="009427B2"/>
    <w:rsid w:val="0094355E"/>
    <w:rsid w:val="009438FA"/>
    <w:rsid w:val="0094427C"/>
    <w:rsid w:val="00944B80"/>
    <w:rsid w:val="00947843"/>
    <w:rsid w:val="00947868"/>
    <w:rsid w:val="00950FFD"/>
    <w:rsid w:val="00951A93"/>
    <w:rsid w:val="009547CF"/>
    <w:rsid w:val="009559F8"/>
    <w:rsid w:val="00955E6D"/>
    <w:rsid w:val="009563E9"/>
    <w:rsid w:val="00957234"/>
    <w:rsid w:val="00957612"/>
    <w:rsid w:val="009614D2"/>
    <w:rsid w:val="009707BB"/>
    <w:rsid w:val="00971F32"/>
    <w:rsid w:val="0097274D"/>
    <w:rsid w:val="00972BA3"/>
    <w:rsid w:val="00975351"/>
    <w:rsid w:val="0097728C"/>
    <w:rsid w:val="0097741C"/>
    <w:rsid w:val="00977CE3"/>
    <w:rsid w:val="009811CD"/>
    <w:rsid w:val="009830ED"/>
    <w:rsid w:val="00983334"/>
    <w:rsid w:val="009840E8"/>
    <w:rsid w:val="00985CD0"/>
    <w:rsid w:val="0098686F"/>
    <w:rsid w:val="00986CF4"/>
    <w:rsid w:val="009905EB"/>
    <w:rsid w:val="009906D6"/>
    <w:rsid w:val="009911C1"/>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A6839"/>
    <w:rsid w:val="009B1D71"/>
    <w:rsid w:val="009B1E8D"/>
    <w:rsid w:val="009B2C05"/>
    <w:rsid w:val="009B3F59"/>
    <w:rsid w:val="009B3F8D"/>
    <w:rsid w:val="009B4794"/>
    <w:rsid w:val="009B47A5"/>
    <w:rsid w:val="009B5D7B"/>
    <w:rsid w:val="009B63E9"/>
    <w:rsid w:val="009B696E"/>
    <w:rsid w:val="009B7223"/>
    <w:rsid w:val="009C1E50"/>
    <w:rsid w:val="009C28B3"/>
    <w:rsid w:val="009C440B"/>
    <w:rsid w:val="009C54F3"/>
    <w:rsid w:val="009C5545"/>
    <w:rsid w:val="009C7A7A"/>
    <w:rsid w:val="009D078C"/>
    <w:rsid w:val="009D095A"/>
    <w:rsid w:val="009D097E"/>
    <w:rsid w:val="009D2FEF"/>
    <w:rsid w:val="009D404C"/>
    <w:rsid w:val="009D509A"/>
    <w:rsid w:val="009D730C"/>
    <w:rsid w:val="009E07B9"/>
    <w:rsid w:val="009E0BAC"/>
    <w:rsid w:val="009E139B"/>
    <w:rsid w:val="009E17A5"/>
    <w:rsid w:val="009E2A55"/>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12C4"/>
    <w:rsid w:val="00A3227D"/>
    <w:rsid w:val="00A3283C"/>
    <w:rsid w:val="00A332F3"/>
    <w:rsid w:val="00A33547"/>
    <w:rsid w:val="00A34DB7"/>
    <w:rsid w:val="00A36C12"/>
    <w:rsid w:val="00A37A9E"/>
    <w:rsid w:val="00A37B8B"/>
    <w:rsid w:val="00A37BE1"/>
    <w:rsid w:val="00A41203"/>
    <w:rsid w:val="00A413F8"/>
    <w:rsid w:val="00A41DCC"/>
    <w:rsid w:val="00A447E6"/>
    <w:rsid w:val="00A4489B"/>
    <w:rsid w:val="00A4558A"/>
    <w:rsid w:val="00A47B8F"/>
    <w:rsid w:val="00A50A1E"/>
    <w:rsid w:val="00A521B9"/>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4C5"/>
    <w:rsid w:val="00A81590"/>
    <w:rsid w:val="00A835A0"/>
    <w:rsid w:val="00A84091"/>
    <w:rsid w:val="00A871C4"/>
    <w:rsid w:val="00A91A57"/>
    <w:rsid w:val="00A93E9E"/>
    <w:rsid w:val="00A948CD"/>
    <w:rsid w:val="00A962D9"/>
    <w:rsid w:val="00A96F6F"/>
    <w:rsid w:val="00A9768E"/>
    <w:rsid w:val="00A97D81"/>
    <w:rsid w:val="00AA053F"/>
    <w:rsid w:val="00AA49FF"/>
    <w:rsid w:val="00AA4F5B"/>
    <w:rsid w:val="00AA53BD"/>
    <w:rsid w:val="00AA6FBE"/>
    <w:rsid w:val="00AA74DC"/>
    <w:rsid w:val="00AA7784"/>
    <w:rsid w:val="00AB23C7"/>
    <w:rsid w:val="00AB261F"/>
    <w:rsid w:val="00AB2852"/>
    <w:rsid w:val="00AB6774"/>
    <w:rsid w:val="00AB6832"/>
    <w:rsid w:val="00AB6B26"/>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5F36"/>
    <w:rsid w:val="00AE6B54"/>
    <w:rsid w:val="00AF2EC3"/>
    <w:rsid w:val="00AF3B2D"/>
    <w:rsid w:val="00AF543D"/>
    <w:rsid w:val="00AF6B28"/>
    <w:rsid w:val="00AF6B82"/>
    <w:rsid w:val="00AF6DA3"/>
    <w:rsid w:val="00AF7821"/>
    <w:rsid w:val="00AF7E24"/>
    <w:rsid w:val="00B01A02"/>
    <w:rsid w:val="00B02937"/>
    <w:rsid w:val="00B05274"/>
    <w:rsid w:val="00B079F0"/>
    <w:rsid w:val="00B11B23"/>
    <w:rsid w:val="00B15967"/>
    <w:rsid w:val="00B16246"/>
    <w:rsid w:val="00B1678F"/>
    <w:rsid w:val="00B16DD7"/>
    <w:rsid w:val="00B175B1"/>
    <w:rsid w:val="00B17ED0"/>
    <w:rsid w:val="00B21365"/>
    <w:rsid w:val="00B216CB"/>
    <w:rsid w:val="00B22EEE"/>
    <w:rsid w:val="00B23490"/>
    <w:rsid w:val="00B2475C"/>
    <w:rsid w:val="00B26AF6"/>
    <w:rsid w:val="00B31E29"/>
    <w:rsid w:val="00B3294C"/>
    <w:rsid w:val="00B336BD"/>
    <w:rsid w:val="00B34188"/>
    <w:rsid w:val="00B34A45"/>
    <w:rsid w:val="00B35DF7"/>
    <w:rsid w:val="00B3671D"/>
    <w:rsid w:val="00B367C0"/>
    <w:rsid w:val="00B3691C"/>
    <w:rsid w:val="00B37872"/>
    <w:rsid w:val="00B445A3"/>
    <w:rsid w:val="00B44BC3"/>
    <w:rsid w:val="00B47F72"/>
    <w:rsid w:val="00B50082"/>
    <w:rsid w:val="00B51E35"/>
    <w:rsid w:val="00B521BA"/>
    <w:rsid w:val="00B522FF"/>
    <w:rsid w:val="00B53CB8"/>
    <w:rsid w:val="00B53F81"/>
    <w:rsid w:val="00B554A4"/>
    <w:rsid w:val="00B564EE"/>
    <w:rsid w:val="00B571EB"/>
    <w:rsid w:val="00B60196"/>
    <w:rsid w:val="00B60D25"/>
    <w:rsid w:val="00B6318F"/>
    <w:rsid w:val="00B63A77"/>
    <w:rsid w:val="00B64CCA"/>
    <w:rsid w:val="00B6662F"/>
    <w:rsid w:val="00B6670A"/>
    <w:rsid w:val="00B735E8"/>
    <w:rsid w:val="00B73AC4"/>
    <w:rsid w:val="00B75806"/>
    <w:rsid w:val="00B77B7F"/>
    <w:rsid w:val="00B8175A"/>
    <w:rsid w:val="00B82E69"/>
    <w:rsid w:val="00B862EF"/>
    <w:rsid w:val="00B86820"/>
    <w:rsid w:val="00B87C21"/>
    <w:rsid w:val="00B90369"/>
    <w:rsid w:val="00B916C0"/>
    <w:rsid w:val="00B9435F"/>
    <w:rsid w:val="00B95E1A"/>
    <w:rsid w:val="00B95F0D"/>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509C"/>
    <w:rsid w:val="00BB7A40"/>
    <w:rsid w:val="00BC1009"/>
    <w:rsid w:val="00BC396F"/>
    <w:rsid w:val="00BC5D53"/>
    <w:rsid w:val="00BD443B"/>
    <w:rsid w:val="00BD4544"/>
    <w:rsid w:val="00BD4835"/>
    <w:rsid w:val="00BD4CF4"/>
    <w:rsid w:val="00BD65FC"/>
    <w:rsid w:val="00BD7641"/>
    <w:rsid w:val="00BE0BAE"/>
    <w:rsid w:val="00BE2FDB"/>
    <w:rsid w:val="00BE30FE"/>
    <w:rsid w:val="00BE3423"/>
    <w:rsid w:val="00BE469C"/>
    <w:rsid w:val="00BE4DB1"/>
    <w:rsid w:val="00BE4DE2"/>
    <w:rsid w:val="00BE67A4"/>
    <w:rsid w:val="00BE6FFB"/>
    <w:rsid w:val="00BF022B"/>
    <w:rsid w:val="00BF24C6"/>
    <w:rsid w:val="00BF3AE5"/>
    <w:rsid w:val="00BF3D52"/>
    <w:rsid w:val="00BF3D72"/>
    <w:rsid w:val="00BF4083"/>
    <w:rsid w:val="00BF7C88"/>
    <w:rsid w:val="00C004E7"/>
    <w:rsid w:val="00C00CCB"/>
    <w:rsid w:val="00C01B94"/>
    <w:rsid w:val="00C03D4A"/>
    <w:rsid w:val="00C03E9F"/>
    <w:rsid w:val="00C046F4"/>
    <w:rsid w:val="00C1048C"/>
    <w:rsid w:val="00C10C05"/>
    <w:rsid w:val="00C11165"/>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41DC6"/>
    <w:rsid w:val="00C42150"/>
    <w:rsid w:val="00C42641"/>
    <w:rsid w:val="00C43E55"/>
    <w:rsid w:val="00C473E3"/>
    <w:rsid w:val="00C5032B"/>
    <w:rsid w:val="00C50735"/>
    <w:rsid w:val="00C51EFB"/>
    <w:rsid w:val="00C52E6B"/>
    <w:rsid w:val="00C55738"/>
    <w:rsid w:val="00C60166"/>
    <w:rsid w:val="00C61D9A"/>
    <w:rsid w:val="00C61FA0"/>
    <w:rsid w:val="00C63D6B"/>
    <w:rsid w:val="00C6479D"/>
    <w:rsid w:val="00C64BC1"/>
    <w:rsid w:val="00C64BFA"/>
    <w:rsid w:val="00C65787"/>
    <w:rsid w:val="00C65B89"/>
    <w:rsid w:val="00C65D8B"/>
    <w:rsid w:val="00C667BC"/>
    <w:rsid w:val="00C71A17"/>
    <w:rsid w:val="00C71C55"/>
    <w:rsid w:val="00C729AE"/>
    <w:rsid w:val="00C74232"/>
    <w:rsid w:val="00C772D7"/>
    <w:rsid w:val="00C77741"/>
    <w:rsid w:val="00C80D60"/>
    <w:rsid w:val="00C825C2"/>
    <w:rsid w:val="00C83AC6"/>
    <w:rsid w:val="00C847D6"/>
    <w:rsid w:val="00C84FCC"/>
    <w:rsid w:val="00C850B4"/>
    <w:rsid w:val="00C851F0"/>
    <w:rsid w:val="00C90C11"/>
    <w:rsid w:val="00C922F0"/>
    <w:rsid w:val="00C93FA7"/>
    <w:rsid w:val="00C943F3"/>
    <w:rsid w:val="00C950CC"/>
    <w:rsid w:val="00C96E83"/>
    <w:rsid w:val="00CA4CCE"/>
    <w:rsid w:val="00CA4F84"/>
    <w:rsid w:val="00CA55A5"/>
    <w:rsid w:val="00CA56E5"/>
    <w:rsid w:val="00CA6A6C"/>
    <w:rsid w:val="00CB2930"/>
    <w:rsid w:val="00CB2EB9"/>
    <w:rsid w:val="00CB3790"/>
    <w:rsid w:val="00CB3C94"/>
    <w:rsid w:val="00CB459E"/>
    <w:rsid w:val="00CB50C8"/>
    <w:rsid w:val="00CB6328"/>
    <w:rsid w:val="00CB6A36"/>
    <w:rsid w:val="00CC16B2"/>
    <w:rsid w:val="00CC1A20"/>
    <w:rsid w:val="00CC2ECC"/>
    <w:rsid w:val="00CC2FBE"/>
    <w:rsid w:val="00CC34ED"/>
    <w:rsid w:val="00CC4578"/>
    <w:rsid w:val="00CC5924"/>
    <w:rsid w:val="00CC6BF0"/>
    <w:rsid w:val="00CD08EF"/>
    <w:rsid w:val="00CD158D"/>
    <w:rsid w:val="00CD1759"/>
    <w:rsid w:val="00CD1EDE"/>
    <w:rsid w:val="00CD2B29"/>
    <w:rsid w:val="00CD3F93"/>
    <w:rsid w:val="00CD5934"/>
    <w:rsid w:val="00CD5A79"/>
    <w:rsid w:val="00CD6CC1"/>
    <w:rsid w:val="00CD75B7"/>
    <w:rsid w:val="00CD779F"/>
    <w:rsid w:val="00CE1038"/>
    <w:rsid w:val="00CE2834"/>
    <w:rsid w:val="00CE4BB3"/>
    <w:rsid w:val="00CE55F4"/>
    <w:rsid w:val="00CE57E8"/>
    <w:rsid w:val="00CE6CF1"/>
    <w:rsid w:val="00CE7CE2"/>
    <w:rsid w:val="00CF144F"/>
    <w:rsid w:val="00CF1DC4"/>
    <w:rsid w:val="00CF39F3"/>
    <w:rsid w:val="00CF3B1D"/>
    <w:rsid w:val="00CF534D"/>
    <w:rsid w:val="00CF6123"/>
    <w:rsid w:val="00CF74FF"/>
    <w:rsid w:val="00D007E4"/>
    <w:rsid w:val="00D00FA8"/>
    <w:rsid w:val="00D02296"/>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27D55"/>
    <w:rsid w:val="00D30AD8"/>
    <w:rsid w:val="00D31CDF"/>
    <w:rsid w:val="00D32F68"/>
    <w:rsid w:val="00D33AC0"/>
    <w:rsid w:val="00D34EB5"/>
    <w:rsid w:val="00D35F29"/>
    <w:rsid w:val="00D41CC1"/>
    <w:rsid w:val="00D421E4"/>
    <w:rsid w:val="00D45FC7"/>
    <w:rsid w:val="00D45FD4"/>
    <w:rsid w:val="00D46FAE"/>
    <w:rsid w:val="00D4796D"/>
    <w:rsid w:val="00D50048"/>
    <w:rsid w:val="00D50C0A"/>
    <w:rsid w:val="00D51466"/>
    <w:rsid w:val="00D516A0"/>
    <w:rsid w:val="00D51D0B"/>
    <w:rsid w:val="00D52249"/>
    <w:rsid w:val="00D5260C"/>
    <w:rsid w:val="00D526CE"/>
    <w:rsid w:val="00D54F2A"/>
    <w:rsid w:val="00D5536E"/>
    <w:rsid w:val="00D56E38"/>
    <w:rsid w:val="00D62B6F"/>
    <w:rsid w:val="00D649B2"/>
    <w:rsid w:val="00D6589D"/>
    <w:rsid w:val="00D65B8F"/>
    <w:rsid w:val="00D65CAC"/>
    <w:rsid w:val="00D669A5"/>
    <w:rsid w:val="00D669CF"/>
    <w:rsid w:val="00D66BB8"/>
    <w:rsid w:val="00D66D38"/>
    <w:rsid w:val="00D703A9"/>
    <w:rsid w:val="00D71774"/>
    <w:rsid w:val="00D72A30"/>
    <w:rsid w:val="00D734E0"/>
    <w:rsid w:val="00D7407F"/>
    <w:rsid w:val="00D7644E"/>
    <w:rsid w:val="00D7737A"/>
    <w:rsid w:val="00D80DA0"/>
    <w:rsid w:val="00D81366"/>
    <w:rsid w:val="00D821B0"/>
    <w:rsid w:val="00D83427"/>
    <w:rsid w:val="00D834CC"/>
    <w:rsid w:val="00D849D9"/>
    <w:rsid w:val="00D85784"/>
    <w:rsid w:val="00D8652D"/>
    <w:rsid w:val="00D86D50"/>
    <w:rsid w:val="00D877B8"/>
    <w:rsid w:val="00D91E7F"/>
    <w:rsid w:val="00D920FF"/>
    <w:rsid w:val="00D93562"/>
    <w:rsid w:val="00D94593"/>
    <w:rsid w:val="00D97734"/>
    <w:rsid w:val="00DA32AF"/>
    <w:rsid w:val="00DA3BE9"/>
    <w:rsid w:val="00DA4261"/>
    <w:rsid w:val="00DA52CD"/>
    <w:rsid w:val="00DB1A9B"/>
    <w:rsid w:val="00DB2388"/>
    <w:rsid w:val="00DB2EF6"/>
    <w:rsid w:val="00DB682F"/>
    <w:rsid w:val="00DB6C38"/>
    <w:rsid w:val="00DC3479"/>
    <w:rsid w:val="00DC4BE5"/>
    <w:rsid w:val="00DC4ED8"/>
    <w:rsid w:val="00DC68B5"/>
    <w:rsid w:val="00DC6F6D"/>
    <w:rsid w:val="00DD10E4"/>
    <w:rsid w:val="00DD1D37"/>
    <w:rsid w:val="00DD28D7"/>
    <w:rsid w:val="00DD39C4"/>
    <w:rsid w:val="00DD3E2C"/>
    <w:rsid w:val="00DD5AED"/>
    <w:rsid w:val="00DD6290"/>
    <w:rsid w:val="00DD71E1"/>
    <w:rsid w:val="00DE0D06"/>
    <w:rsid w:val="00DE0F2F"/>
    <w:rsid w:val="00DE10DC"/>
    <w:rsid w:val="00DE4010"/>
    <w:rsid w:val="00DE47BC"/>
    <w:rsid w:val="00DE4C38"/>
    <w:rsid w:val="00DE6881"/>
    <w:rsid w:val="00DF06CC"/>
    <w:rsid w:val="00DF1441"/>
    <w:rsid w:val="00DF2CA2"/>
    <w:rsid w:val="00DF311B"/>
    <w:rsid w:val="00DF40B9"/>
    <w:rsid w:val="00DF499D"/>
    <w:rsid w:val="00DF6172"/>
    <w:rsid w:val="00DF6D4F"/>
    <w:rsid w:val="00DF7889"/>
    <w:rsid w:val="00E037C5"/>
    <w:rsid w:val="00E03F27"/>
    <w:rsid w:val="00E04A37"/>
    <w:rsid w:val="00E04D22"/>
    <w:rsid w:val="00E068E7"/>
    <w:rsid w:val="00E075C0"/>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5A27"/>
    <w:rsid w:val="00E36EC9"/>
    <w:rsid w:val="00E403C7"/>
    <w:rsid w:val="00E40DC2"/>
    <w:rsid w:val="00E42BC6"/>
    <w:rsid w:val="00E432B9"/>
    <w:rsid w:val="00E444A3"/>
    <w:rsid w:val="00E46865"/>
    <w:rsid w:val="00E46D15"/>
    <w:rsid w:val="00E50B3F"/>
    <w:rsid w:val="00E549F2"/>
    <w:rsid w:val="00E54BC5"/>
    <w:rsid w:val="00E55239"/>
    <w:rsid w:val="00E56D55"/>
    <w:rsid w:val="00E602B6"/>
    <w:rsid w:val="00E60567"/>
    <w:rsid w:val="00E61EC6"/>
    <w:rsid w:val="00E62A12"/>
    <w:rsid w:val="00E63068"/>
    <w:rsid w:val="00E63797"/>
    <w:rsid w:val="00E63A25"/>
    <w:rsid w:val="00E64972"/>
    <w:rsid w:val="00E675D0"/>
    <w:rsid w:val="00E676F1"/>
    <w:rsid w:val="00E70737"/>
    <w:rsid w:val="00E7084F"/>
    <w:rsid w:val="00E730EB"/>
    <w:rsid w:val="00E73847"/>
    <w:rsid w:val="00E755D8"/>
    <w:rsid w:val="00E75E47"/>
    <w:rsid w:val="00E76FA2"/>
    <w:rsid w:val="00E77FCF"/>
    <w:rsid w:val="00E80C0C"/>
    <w:rsid w:val="00E82BFB"/>
    <w:rsid w:val="00E83749"/>
    <w:rsid w:val="00E85585"/>
    <w:rsid w:val="00E86493"/>
    <w:rsid w:val="00E876A8"/>
    <w:rsid w:val="00E87A8E"/>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3279"/>
    <w:rsid w:val="00EB4E5A"/>
    <w:rsid w:val="00EB52FE"/>
    <w:rsid w:val="00EB7156"/>
    <w:rsid w:val="00EB772E"/>
    <w:rsid w:val="00EC1766"/>
    <w:rsid w:val="00EC456B"/>
    <w:rsid w:val="00ED0C72"/>
    <w:rsid w:val="00ED0DE6"/>
    <w:rsid w:val="00ED2839"/>
    <w:rsid w:val="00ED34C0"/>
    <w:rsid w:val="00ED3F15"/>
    <w:rsid w:val="00ED5D56"/>
    <w:rsid w:val="00ED719C"/>
    <w:rsid w:val="00ED7952"/>
    <w:rsid w:val="00ED7AEF"/>
    <w:rsid w:val="00ED7B1F"/>
    <w:rsid w:val="00ED7DE9"/>
    <w:rsid w:val="00EE0AA7"/>
    <w:rsid w:val="00EE1595"/>
    <w:rsid w:val="00EE188D"/>
    <w:rsid w:val="00EE298C"/>
    <w:rsid w:val="00EE2DEE"/>
    <w:rsid w:val="00EE2FCB"/>
    <w:rsid w:val="00EE3CDE"/>
    <w:rsid w:val="00EE4587"/>
    <w:rsid w:val="00EE4DD3"/>
    <w:rsid w:val="00EE6F07"/>
    <w:rsid w:val="00EF0EB3"/>
    <w:rsid w:val="00EF13F6"/>
    <w:rsid w:val="00EF2F8A"/>
    <w:rsid w:val="00EF359D"/>
    <w:rsid w:val="00EF3F87"/>
    <w:rsid w:val="00EF7522"/>
    <w:rsid w:val="00F00019"/>
    <w:rsid w:val="00F000D2"/>
    <w:rsid w:val="00F005F8"/>
    <w:rsid w:val="00F0104D"/>
    <w:rsid w:val="00F011A4"/>
    <w:rsid w:val="00F03330"/>
    <w:rsid w:val="00F0333F"/>
    <w:rsid w:val="00F03371"/>
    <w:rsid w:val="00F03B3A"/>
    <w:rsid w:val="00F044B1"/>
    <w:rsid w:val="00F07856"/>
    <w:rsid w:val="00F10668"/>
    <w:rsid w:val="00F11591"/>
    <w:rsid w:val="00F116F3"/>
    <w:rsid w:val="00F1238A"/>
    <w:rsid w:val="00F12693"/>
    <w:rsid w:val="00F1288B"/>
    <w:rsid w:val="00F12D02"/>
    <w:rsid w:val="00F13AFD"/>
    <w:rsid w:val="00F146B4"/>
    <w:rsid w:val="00F20639"/>
    <w:rsid w:val="00F2086D"/>
    <w:rsid w:val="00F226C3"/>
    <w:rsid w:val="00F234D5"/>
    <w:rsid w:val="00F24881"/>
    <w:rsid w:val="00F24A3E"/>
    <w:rsid w:val="00F2517A"/>
    <w:rsid w:val="00F25316"/>
    <w:rsid w:val="00F256B2"/>
    <w:rsid w:val="00F25B1B"/>
    <w:rsid w:val="00F260D4"/>
    <w:rsid w:val="00F2761A"/>
    <w:rsid w:val="00F31883"/>
    <w:rsid w:val="00F31A4E"/>
    <w:rsid w:val="00F325C1"/>
    <w:rsid w:val="00F34246"/>
    <w:rsid w:val="00F34C50"/>
    <w:rsid w:val="00F35460"/>
    <w:rsid w:val="00F37B00"/>
    <w:rsid w:val="00F37BD0"/>
    <w:rsid w:val="00F40F4E"/>
    <w:rsid w:val="00F40FD8"/>
    <w:rsid w:val="00F42F6C"/>
    <w:rsid w:val="00F43DF9"/>
    <w:rsid w:val="00F45BBE"/>
    <w:rsid w:val="00F462A2"/>
    <w:rsid w:val="00F4721D"/>
    <w:rsid w:val="00F472DA"/>
    <w:rsid w:val="00F527DD"/>
    <w:rsid w:val="00F540E5"/>
    <w:rsid w:val="00F54404"/>
    <w:rsid w:val="00F54A54"/>
    <w:rsid w:val="00F558CD"/>
    <w:rsid w:val="00F57717"/>
    <w:rsid w:val="00F626F6"/>
    <w:rsid w:val="00F62F5B"/>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2FB1"/>
    <w:rsid w:val="00F742C5"/>
    <w:rsid w:val="00F7440F"/>
    <w:rsid w:val="00F779BF"/>
    <w:rsid w:val="00F77F9A"/>
    <w:rsid w:val="00F802BA"/>
    <w:rsid w:val="00F8151E"/>
    <w:rsid w:val="00F81E68"/>
    <w:rsid w:val="00F826F9"/>
    <w:rsid w:val="00F82956"/>
    <w:rsid w:val="00F8324C"/>
    <w:rsid w:val="00F83A88"/>
    <w:rsid w:val="00F83B5D"/>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A74D7"/>
    <w:rsid w:val="00FB057D"/>
    <w:rsid w:val="00FB1A5F"/>
    <w:rsid w:val="00FB2D51"/>
    <w:rsid w:val="00FB3B15"/>
    <w:rsid w:val="00FB3D76"/>
    <w:rsid w:val="00FB5896"/>
    <w:rsid w:val="00FB6B22"/>
    <w:rsid w:val="00FC0223"/>
    <w:rsid w:val="00FC1939"/>
    <w:rsid w:val="00FC2CFD"/>
    <w:rsid w:val="00FC751F"/>
    <w:rsid w:val="00FD0C78"/>
    <w:rsid w:val="00FD33B0"/>
    <w:rsid w:val="00FD35F3"/>
    <w:rsid w:val="00FD391E"/>
    <w:rsid w:val="00FE0EED"/>
    <w:rsid w:val="00FE1342"/>
    <w:rsid w:val="00FE1D55"/>
    <w:rsid w:val="00FE1E7E"/>
    <w:rsid w:val="00FE3171"/>
    <w:rsid w:val="00FF03F1"/>
    <w:rsid w:val="00FF0CCA"/>
    <w:rsid w:val="00FF0DD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129859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09">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4352499">
      <w:bodyDiv w:val="1"/>
      <w:marLeft w:val="0"/>
      <w:marRight w:val="0"/>
      <w:marTop w:val="0"/>
      <w:marBottom w:val="0"/>
      <w:divBdr>
        <w:top w:val="none" w:sz="0" w:space="0" w:color="auto"/>
        <w:left w:val="none" w:sz="0" w:space="0" w:color="auto"/>
        <w:bottom w:val="none" w:sz="0" w:space="0" w:color="auto"/>
        <w:right w:val="none" w:sz="0" w:space="0" w:color="auto"/>
      </w:divBdr>
      <w:divsChild>
        <w:div w:id="1268854193">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6602651">
      <w:bodyDiv w:val="1"/>
      <w:marLeft w:val="0"/>
      <w:marRight w:val="0"/>
      <w:marTop w:val="0"/>
      <w:marBottom w:val="0"/>
      <w:divBdr>
        <w:top w:val="none" w:sz="0" w:space="0" w:color="auto"/>
        <w:left w:val="none" w:sz="0" w:space="0" w:color="auto"/>
        <w:bottom w:val="none" w:sz="0" w:space="0" w:color="auto"/>
        <w:right w:val="none" w:sz="0" w:space="0" w:color="auto"/>
      </w:divBdr>
      <w:divsChild>
        <w:div w:id="153291621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041274">
      <w:bodyDiv w:val="1"/>
      <w:marLeft w:val="0"/>
      <w:marRight w:val="0"/>
      <w:marTop w:val="0"/>
      <w:marBottom w:val="0"/>
      <w:divBdr>
        <w:top w:val="none" w:sz="0" w:space="0" w:color="auto"/>
        <w:left w:val="none" w:sz="0" w:space="0" w:color="auto"/>
        <w:bottom w:val="none" w:sz="0" w:space="0" w:color="auto"/>
        <w:right w:val="none" w:sz="0" w:space="0" w:color="auto"/>
      </w:divBdr>
      <w:divsChild>
        <w:div w:id="111027582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74811401">
      <w:bodyDiv w:val="1"/>
      <w:marLeft w:val="0"/>
      <w:marRight w:val="0"/>
      <w:marTop w:val="0"/>
      <w:marBottom w:val="0"/>
      <w:divBdr>
        <w:top w:val="none" w:sz="0" w:space="0" w:color="auto"/>
        <w:left w:val="none" w:sz="0" w:space="0" w:color="auto"/>
        <w:bottom w:val="none" w:sz="0" w:space="0" w:color="auto"/>
        <w:right w:val="none" w:sz="0" w:space="0" w:color="auto"/>
      </w:divBdr>
      <w:divsChild>
        <w:div w:id="705133934">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366156">
      <w:bodyDiv w:val="1"/>
      <w:marLeft w:val="0"/>
      <w:marRight w:val="0"/>
      <w:marTop w:val="0"/>
      <w:marBottom w:val="0"/>
      <w:divBdr>
        <w:top w:val="none" w:sz="0" w:space="0" w:color="auto"/>
        <w:left w:val="none" w:sz="0" w:space="0" w:color="auto"/>
        <w:bottom w:val="none" w:sz="0" w:space="0" w:color="auto"/>
        <w:right w:val="none" w:sz="0" w:space="0" w:color="auto"/>
      </w:divBdr>
      <w:divsChild>
        <w:div w:id="827090284">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272527">
      <w:bodyDiv w:val="1"/>
      <w:marLeft w:val="0"/>
      <w:marRight w:val="0"/>
      <w:marTop w:val="0"/>
      <w:marBottom w:val="0"/>
      <w:divBdr>
        <w:top w:val="none" w:sz="0" w:space="0" w:color="auto"/>
        <w:left w:val="none" w:sz="0" w:space="0" w:color="auto"/>
        <w:bottom w:val="none" w:sz="0" w:space="0" w:color="auto"/>
        <w:right w:val="none" w:sz="0" w:space="0" w:color="auto"/>
      </w:divBdr>
      <w:divsChild>
        <w:div w:id="1265189323">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5637998">
      <w:bodyDiv w:val="1"/>
      <w:marLeft w:val="0"/>
      <w:marRight w:val="0"/>
      <w:marTop w:val="0"/>
      <w:marBottom w:val="0"/>
      <w:divBdr>
        <w:top w:val="none" w:sz="0" w:space="0" w:color="auto"/>
        <w:left w:val="none" w:sz="0" w:space="0" w:color="auto"/>
        <w:bottom w:val="none" w:sz="0" w:space="0" w:color="auto"/>
        <w:right w:val="none" w:sz="0" w:space="0" w:color="auto"/>
      </w:divBdr>
      <w:divsChild>
        <w:div w:id="192965321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7796319">
      <w:bodyDiv w:val="1"/>
      <w:marLeft w:val="0"/>
      <w:marRight w:val="0"/>
      <w:marTop w:val="0"/>
      <w:marBottom w:val="0"/>
      <w:divBdr>
        <w:top w:val="none" w:sz="0" w:space="0" w:color="auto"/>
        <w:left w:val="none" w:sz="0" w:space="0" w:color="auto"/>
        <w:bottom w:val="none" w:sz="0" w:space="0" w:color="auto"/>
        <w:right w:val="none" w:sz="0" w:space="0" w:color="auto"/>
      </w:divBdr>
      <w:divsChild>
        <w:div w:id="553851433">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76514180">
      <w:bodyDiv w:val="1"/>
      <w:marLeft w:val="0"/>
      <w:marRight w:val="0"/>
      <w:marTop w:val="0"/>
      <w:marBottom w:val="0"/>
      <w:divBdr>
        <w:top w:val="none" w:sz="0" w:space="0" w:color="auto"/>
        <w:left w:val="none" w:sz="0" w:space="0" w:color="auto"/>
        <w:bottom w:val="none" w:sz="0" w:space="0" w:color="auto"/>
        <w:right w:val="none" w:sz="0" w:space="0" w:color="auto"/>
      </w:divBdr>
      <w:divsChild>
        <w:div w:id="1684355670">
          <w:marLeft w:val="0"/>
          <w:marRight w:val="0"/>
          <w:marTop w:val="0"/>
          <w:marBottom w:val="0"/>
          <w:divBdr>
            <w:top w:val="none" w:sz="0" w:space="0" w:color="auto"/>
            <w:left w:val="none" w:sz="0" w:space="0" w:color="auto"/>
            <w:bottom w:val="none" w:sz="0" w:space="0" w:color="auto"/>
            <w:right w:val="none" w:sz="0" w:space="0" w:color="auto"/>
          </w:divBdr>
        </w:div>
      </w:divsChild>
    </w:div>
    <w:div w:id="381908576">
      <w:bodyDiv w:val="1"/>
      <w:marLeft w:val="0"/>
      <w:marRight w:val="0"/>
      <w:marTop w:val="0"/>
      <w:marBottom w:val="0"/>
      <w:divBdr>
        <w:top w:val="none" w:sz="0" w:space="0" w:color="auto"/>
        <w:left w:val="none" w:sz="0" w:space="0" w:color="auto"/>
        <w:bottom w:val="none" w:sz="0" w:space="0" w:color="auto"/>
        <w:right w:val="none" w:sz="0" w:space="0" w:color="auto"/>
      </w:divBdr>
      <w:divsChild>
        <w:div w:id="436943933">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184">
      <w:bodyDiv w:val="1"/>
      <w:marLeft w:val="0"/>
      <w:marRight w:val="0"/>
      <w:marTop w:val="0"/>
      <w:marBottom w:val="0"/>
      <w:divBdr>
        <w:top w:val="none" w:sz="0" w:space="0" w:color="auto"/>
        <w:left w:val="none" w:sz="0" w:space="0" w:color="auto"/>
        <w:bottom w:val="none" w:sz="0" w:space="0" w:color="auto"/>
        <w:right w:val="none" w:sz="0" w:space="0" w:color="auto"/>
      </w:divBdr>
      <w:divsChild>
        <w:div w:id="1406221353">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18933506">
      <w:bodyDiv w:val="1"/>
      <w:marLeft w:val="0"/>
      <w:marRight w:val="0"/>
      <w:marTop w:val="0"/>
      <w:marBottom w:val="0"/>
      <w:divBdr>
        <w:top w:val="none" w:sz="0" w:space="0" w:color="auto"/>
        <w:left w:val="none" w:sz="0" w:space="0" w:color="auto"/>
        <w:bottom w:val="none" w:sz="0" w:space="0" w:color="auto"/>
        <w:right w:val="none" w:sz="0" w:space="0" w:color="auto"/>
      </w:divBdr>
      <w:divsChild>
        <w:div w:id="1023628521">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2814661">
      <w:bodyDiv w:val="1"/>
      <w:marLeft w:val="0"/>
      <w:marRight w:val="0"/>
      <w:marTop w:val="0"/>
      <w:marBottom w:val="0"/>
      <w:divBdr>
        <w:top w:val="none" w:sz="0" w:space="0" w:color="auto"/>
        <w:left w:val="none" w:sz="0" w:space="0" w:color="auto"/>
        <w:bottom w:val="none" w:sz="0" w:space="0" w:color="auto"/>
        <w:right w:val="none" w:sz="0" w:space="0" w:color="auto"/>
      </w:divBdr>
      <w:divsChild>
        <w:div w:id="1140882875">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49923911">
      <w:bodyDiv w:val="1"/>
      <w:marLeft w:val="0"/>
      <w:marRight w:val="0"/>
      <w:marTop w:val="0"/>
      <w:marBottom w:val="0"/>
      <w:divBdr>
        <w:top w:val="none" w:sz="0" w:space="0" w:color="auto"/>
        <w:left w:val="none" w:sz="0" w:space="0" w:color="auto"/>
        <w:bottom w:val="none" w:sz="0" w:space="0" w:color="auto"/>
        <w:right w:val="none" w:sz="0" w:space="0" w:color="auto"/>
      </w:divBdr>
      <w:divsChild>
        <w:div w:id="1008364035">
          <w:marLeft w:val="0"/>
          <w:marRight w:val="0"/>
          <w:marTop w:val="0"/>
          <w:marBottom w:val="0"/>
          <w:divBdr>
            <w:top w:val="none" w:sz="0" w:space="0" w:color="auto"/>
            <w:left w:val="none" w:sz="0" w:space="0" w:color="auto"/>
            <w:bottom w:val="none" w:sz="0" w:space="0" w:color="auto"/>
            <w:right w:val="none" w:sz="0" w:space="0" w:color="auto"/>
          </w:divBdr>
        </w:div>
      </w:divsChild>
    </w:div>
    <w:div w:id="550919205">
      <w:bodyDiv w:val="1"/>
      <w:marLeft w:val="0"/>
      <w:marRight w:val="0"/>
      <w:marTop w:val="0"/>
      <w:marBottom w:val="0"/>
      <w:divBdr>
        <w:top w:val="none" w:sz="0" w:space="0" w:color="auto"/>
        <w:left w:val="none" w:sz="0" w:space="0" w:color="auto"/>
        <w:bottom w:val="none" w:sz="0" w:space="0" w:color="auto"/>
        <w:right w:val="none" w:sz="0" w:space="0" w:color="auto"/>
      </w:divBdr>
      <w:divsChild>
        <w:div w:id="925378093">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1235727">
      <w:bodyDiv w:val="1"/>
      <w:marLeft w:val="0"/>
      <w:marRight w:val="0"/>
      <w:marTop w:val="0"/>
      <w:marBottom w:val="0"/>
      <w:divBdr>
        <w:top w:val="none" w:sz="0" w:space="0" w:color="auto"/>
        <w:left w:val="none" w:sz="0" w:space="0" w:color="auto"/>
        <w:bottom w:val="none" w:sz="0" w:space="0" w:color="auto"/>
        <w:right w:val="none" w:sz="0" w:space="0" w:color="auto"/>
      </w:divBdr>
      <w:divsChild>
        <w:div w:id="1033505980">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68930668">
      <w:bodyDiv w:val="1"/>
      <w:marLeft w:val="0"/>
      <w:marRight w:val="0"/>
      <w:marTop w:val="0"/>
      <w:marBottom w:val="0"/>
      <w:divBdr>
        <w:top w:val="none" w:sz="0" w:space="0" w:color="auto"/>
        <w:left w:val="none" w:sz="0" w:space="0" w:color="auto"/>
        <w:bottom w:val="none" w:sz="0" w:space="0" w:color="auto"/>
        <w:right w:val="none" w:sz="0" w:space="0" w:color="auto"/>
      </w:divBdr>
      <w:divsChild>
        <w:div w:id="1925920616">
          <w:marLeft w:val="0"/>
          <w:marRight w:val="0"/>
          <w:marTop w:val="0"/>
          <w:marBottom w:val="0"/>
          <w:divBdr>
            <w:top w:val="none" w:sz="0" w:space="0" w:color="auto"/>
            <w:left w:val="none" w:sz="0" w:space="0" w:color="auto"/>
            <w:bottom w:val="none" w:sz="0" w:space="0" w:color="auto"/>
            <w:right w:val="none" w:sz="0" w:space="0" w:color="auto"/>
          </w:divBdr>
        </w:div>
      </w:divsChild>
    </w:div>
    <w:div w:id="569313740">
      <w:bodyDiv w:val="1"/>
      <w:marLeft w:val="0"/>
      <w:marRight w:val="0"/>
      <w:marTop w:val="0"/>
      <w:marBottom w:val="0"/>
      <w:divBdr>
        <w:top w:val="none" w:sz="0" w:space="0" w:color="auto"/>
        <w:left w:val="none" w:sz="0" w:space="0" w:color="auto"/>
        <w:bottom w:val="none" w:sz="0" w:space="0" w:color="auto"/>
        <w:right w:val="none" w:sz="0" w:space="0" w:color="auto"/>
      </w:divBdr>
      <w:divsChild>
        <w:div w:id="2579540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85574173">
      <w:bodyDiv w:val="1"/>
      <w:marLeft w:val="0"/>
      <w:marRight w:val="0"/>
      <w:marTop w:val="0"/>
      <w:marBottom w:val="0"/>
      <w:divBdr>
        <w:top w:val="none" w:sz="0" w:space="0" w:color="auto"/>
        <w:left w:val="none" w:sz="0" w:space="0" w:color="auto"/>
        <w:bottom w:val="none" w:sz="0" w:space="0" w:color="auto"/>
        <w:right w:val="none" w:sz="0" w:space="0" w:color="auto"/>
      </w:divBdr>
      <w:divsChild>
        <w:div w:id="1580600392">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599988503">
      <w:bodyDiv w:val="1"/>
      <w:marLeft w:val="0"/>
      <w:marRight w:val="0"/>
      <w:marTop w:val="0"/>
      <w:marBottom w:val="0"/>
      <w:divBdr>
        <w:top w:val="none" w:sz="0" w:space="0" w:color="auto"/>
        <w:left w:val="none" w:sz="0" w:space="0" w:color="auto"/>
        <w:bottom w:val="none" w:sz="0" w:space="0" w:color="auto"/>
        <w:right w:val="none" w:sz="0" w:space="0" w:color="auto"/>
      </w:divBdr>
      <w:divsChild>
        <w:div w:id="537742282">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199233">
      <w:bodyDiv w:val="1"/>
      <w:marLeft w:val="0"/>
      <w:marRight w:val="0"/>
      <w:marTop w:val="0"/>
      <w:marBottom w:val="0"/>
      <w:divBdr>
        <w:top w:val="none" w:sz="0" w:space="0" w:color="auto"/>
        <w:left w:val="none" w:sz="0" w:space="0" w:color="auto"/>
        <w:bottom w:val="none" w:sz="0" w:space="0" w:color="auto"/>
        <w:right w:val="none" w:sz="0" w:space="0" w:color="auto"/>
      </w:divBdr>
      <w:divsChild>
        <w:div w:id="122140052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7662452">
      <w:bodyDiv w:val="1"/>
      <w:marLeft w:val="0"/>
      <w:marRight w:val="0"/>
      <w:marTop w:val="0"/>
      <w:marBottom w:val="0"/>
      <w:divBdr>
        <w:top w:val="none" w:sz="0" w:space="0" w:color="auto"/>
        <w:left w:val="none" w:sz="0" w:space="0" w:color="auto"/>
        <w:bottom w:val="none" w:sz="0" w:space="0" w:color="auto"/>
        <w:right w:val="none" w:sz="0" w:space="0" w:color="auto"/>
      </w:divBdr>
      <w:divsChild>
        <w:div w:id="1987390501">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29744846">
      <w:bodyDiv w:val="1"/>
      <w:marLeft w:val="0"/>
      <w:marRight w:val="0"/>
      <w:marTop w:val="0"/>
      <w:marBottom w:val="0"/>
      <w:divBdr>
        <w:top w:val="none" w:sz="0" w:space="0" w:color="auto"/>
        <w:left w:val="none" w:sz="0" w:space="0" w:color="auto"/>
        <w:bottom w:val="none" w:sz="0" w:space="0" w:color="auto"/>
        <w:right w:val="none" w:sz="0" w:space="0" w:color="auto"/>
      </w:divBdr>
      <w:divsChild>
        <w:div w:id="2107265808">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765173">
      <w:bodyDiv w:val="1"/>
      <w:marLeft w:val="0"/>
      <w:marRight w:val="0"/>
      <w:marTop w:val="0"/>
      <w:marBottom w:val="0"/>
      <w:divBdr>
        <w:top w:val="none" w:sz="0" w:space="0" w:color="auto"/>
        <w:left w:val="none" w:sz="0" w:space="0" w:color="auto"/>
        <w:bottom w:val="none" w:sz="0" w:space="0" w:color="auto"/>
        <w:right w:val="none" w:sz="0" w:space="0" w:color="auto"/>
      </w:divBdr>
      <w:divsChild>
        <w:div w:id="1253778512">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79044661">
      <w:bodyDiv w:val="1"/>
      <w:marLeft w:val="0"/>
      <w:marRight w:val="0"/>
      <w:marTop w:val="0"/>
      <w:marBottom w:val="0"/>
      <w:divBdr>
        <w:top w:val="none" w:sz="0" w:space="0" w:color="auto"/>
        <w:left w:val="none" w:sz="0" w:space="0" w:color="auto"/>
        <w:bottom w:val="none" w:sz="0" w:space="0" w:color="auto"/>
        <w:right w:val="none" w:sz="0" w:space="0" w:color="auto"/>
      </w:divBdr>
      <w:divsChild>
        <w:div w:id="39717830">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777593">
      <w:bodyDiv w:val="1"/>
      <w:marLeft w:val="0"/>
      <w:marRight w:val="0"/>
      <w:marTop w:val="0"/>
      <w:marBottom w:val="0"/>
      <w:divBdr>
        <w:top w:val="none" w:sz="0" w:space="0" w:color="auto"/>
        <w:left w:val="none" w:sz="0" w:space="0" w:color="auto"/>
        <w:bottom w:val="none" w:sz="0" w:space="0" w:color="auto"/>
        <w:right w:val="none" w:sz="0" w:space="0" w:color="auto"/>
      </w:divBdr>
      <w:divsChild>
        <w:div w:id="176063665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37174298">
      <w:bodyDiv w:val="1"/>
      <w:marLeft w:val="0"/>
      <w:marRight w:val="0"/>
      <w:marTop w:val="0"/>
      <w:marBottom w:val="0"/>
      <w:divBdr>
        <w:top w:val="none" w:sz="0" w:space="0" w:color="auto"/>
        <w:left w:val="none" w:sz="0" w:space="0" w:color="auto"/>
        <w:bottom w:val="none" w:sz="0" w:space="0" w:color="auto"/>
        <w:right w:val="none" w:sz="0" w:space="0" w:color="auto"/>
      </w:divBdr>
      <w:divsChild>
        <w:div w:id="98358066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7698461">
      <w:bodyDiv w:val="1"/>
      <w:marLeft w:val="0"/>
      <w:marRight w:val="0"/>
      <w:marTop w:val="0"/>
      <w:marBottom w:val="0"/>
      <w:divBdr>
        <w:top w:val="none" w:sz="0" w:space="0" w:color="auto"/>
        <w:left w:val="none" w:sz="0" w:space="0" w:color="auto"/>
        <w:bottom w:val="none" w:sz="0" w:space="0" w:color="auto"/>
        <w:right w:val="none" w:sz="0" w:space="0" w:color="auto"/>
      </w:divBdr>
      <w:divsChild>
        <w:div w:id="24408954">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6381125">
      <w:bodyDiv w:val="1"/>
      <w:marLeft w:val="0"/>
      <w:marRight w:val="0"/>
      <w:marTop w:val="0"/>
      <w:marBottom w:val="0"/>
      <w:divBdr>
        <w:top w:val="none" w:sz="0" w:space="0" w:color="auto"/>
        <w:left w:val="none" w:sz="0" w:space="0" w:color="auto"/>
        <w:bottom w:val="none" w:sz="0" w:space="0" w:color="auto"/>
        <w:right w:val="none" w:sz="0" w:space="0" w:color="auto"/>
      </w:divBdr>
      <w:divsChild>
        <w:div w:id="64690132">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485121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874">
          <w:marLeft w:val="0"/>
          <w:marRight w:val="0"/>
          <w:marTop w:val="0"/>
          <w:marBottom w:val="0"/>
          <w:divBdr>
            <w:top w:val="none" w:sz="0" w:space="0" w:color="auto"/>
            <w:left w:val="none" w:sz="0" w:space="0" w:color="auto"/>
            <w:bottom w:val="none" w:sz="0" w:space="0" w:color="auto"/>
            <w:right w:val="none" w:sz="0" w:space="0" w:color="auto"/>
          </w:divBdr>
        </w:div>
      </w:divsChild>
    </w:div>
    <w:div w:id="949975097">
      <w:bodyDiv w:val="1"/>
      <w:marLeft w:val="0"/>
      <w:marRight w:val="0"/>
      <w:marTop w:val="0"/>
      <w:marBottom w:val="0"/>
      <w:divBdr>
        <w:top w:val="none" w:sz="0" w:space="0" w:color="auto"/>
        <w:left w:val="none" w:sz="0" w:space="0" w:color="auto"/>
        <w:bottom w:val="none" w:sz="0" w:space="0" w:color="auto"/>
        <w:right w:val="none" w:sz="0" w:space="0" w:color="auto"/>
      </w:divBdr>
      <w:divsChild>
        <w:div w:id="302202148">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68318084">
      <w:bodyDiv w:val="1"/>
      <w:marLeft w:val="0"/>
      <w:marRight w:val="0"/>
      <w:marTop w:val="0"/>
      <w:marBottom w:val="0"/>
      <w:divBdr>
        <w:top w:val="none" w:sz="0" w:space="0" w:color="auto"/>
        <w:left w:val="none" w:sz="0" w:space="0" w:color="auto"/>
        <w:bottom w:val="none" w:sz="0" w:space="0" w:color="auto"/>
        <w:right w:val="none" w:sz="0" w:space="0" w:color="auto"/>
      </w:divBdr>
      <w:divsChild>
        <w:div w:id="519126148">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72826331">
      <w:bodyDiv w:val="1"/>
      <w:marLeft w:val="0"/>
      <w:marRight w:val="0"/>
      <w:marTop w:val="0"/>
      <w:marBottom w:val="0"/>
      <w:divBdr>
        <w:top w:val="none" w:sz="0" w:space="0" w:color="auto"/>
        <w:left w:val="none" w:sz="0" w:space="0" w:color="auto"/>
        <w:bottom w:val="none" w:sz="0" w:space="0" w:color="auto"/>
        <w:right w:val="none" w:sz="0" w:space="0" w:color="auto"/>
      </w:divBdr>
      <w:divsChild>
        <w:div w:id="543492078">
          <w:marLeft w:val="0"/>
          <w:marRight w:val="0"/>
          <w:marTop w:val="0"/>
          <w:marBottom w:val="0"/>
          <w:divBdr>
            <w:top w:val="none" w:sz="0" w:space="0" w:color="auto"/>
            <w:left w:val="none" w:sz="0" w:space="0" w:color="auto"/>
            <w:bottom w:val="none" w:sz="0" w:space="0" w:color="auto"/>
            <w:right w:val="none" w:sz="0" w:space="0" w:color="auto"/>
          </w:divBdr>
        </w:div>
      </w:divsChild>
    </w:div>
    <w:div w:id="973751150">
      <w:bodyDiv w:val="1"/>
      <w:marLeft w:val="0"/>
      <w:marRight w:val="0"/>
      <w:marTop w:val="0"/>
      <w:marBottom w:val="0"/>
      <w:divBdr>
        <w:top w:val="none" w:sz="0" w:space="0" w:color="auto"/>
        <w:left w:val="none" w:sz="0" w:space="0" w:color="auto"/>
        <w:bottom w:val="none" w:sz="0" w:space="0" w:color="auto"/>
        <w:right w:val="none" w:sz="0" w:space="0" w:color="auto"/>
      </w:divBdr>
      <w:divsChild>
        <w:div w:id="705377402">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40614029">
      <w:bodyDiv w:val="1"/>
      <w:marLeft w:val="0"/>
      <w:marRight w:val="0"/>
      <w:marTop w:val="0"/>
      <w:marBottom w:val="0"/>
      <w:divBdr>
        <w:top w:val="none" w:sz="0" w:space="0" w:color="auto"/>
        <w:left w:val="none" w:sz="0" w:space="0" w:color="auto"/>
        <w:bottom w:val="none" w:sz="0" w:space="0" w:color="auto"/>
        <w:right w:val="none" w:sz="0" w:space="0" w:color="auto"/>
      </w:divBdr>
      <w:divsChild>
        <w:div w:id="133184144">
          <w:marLeft w:val="0"/>
          <w:marRight w:val="0"/>
          <w:marTop w:val="0"/>
          <w:marBottom w:val="0"/>
          <w:divBdr>
            <w:top w:val="none" w:sz="0" w:space="0" w:color="auto"/>
            <w:left w:val="none" w:sz="0" w:space="0" w:color="auto"/>
            <w:bottom w:val="none" w:sz="0" w:space="0" w:color="auto"/>
            <w:right w:val="none" w:sz="0" w:space="0" w:color="auto"/>
          </w:divBdr>
        </w:div>
      </w:divsChild>
    </w:div>
    <w:div w:id="1148934391">
      <w:bodyDiv w:val="1"/>
      <w:marLeft w:val="0"/>
      <w:marRight w:val="0"/>
      <w:marTop w:val="0"/>
      <w:marBottom w:val="0"/>
      <w:divBdr>
        <w:top w:val="none" w:sz="0" w:space="0" w:color="auto"/>
        <w:left w:val="none" w:sz="0" w:space="0" w:color="auto"/>
        <w:bottom w:val="none" w:sz="0" w:space="0" w:color="auto"/>
        <w:right w:val="none" w:sz="0" w:space="0" w:color="auto"/>
      </w:divBdr>
      <w:divsChild>
        <w:div w:id="2099056673">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0853272">
      <w:bodyDiv w:val="1"/>
      <w:marLeft w:val="0"/>
      <w:marRight w:val="0"/>
      <w:marTop w:val="0"/>
      <w:marBottom w:val="0"/>
      <w:divBdr>
        <w:top w:val="none" w:sz="0" w:space="0" w:color="auto"/>
        <w:left w:val="none" w:sz="0" w:space="0" w:color="auto"/>
        <w:bottom w:val="none" w:sz="0" w:space="0" w:color="auto"/>
        <w:right w:val="none" w:sz="0" w:space="0" w:color="auto"/>
      </w:divBdr>
      <w:divsChild>
        <w:div w:id="1468652">
          <w:marLeft w:val="0"/>
          <w:marRight w:val="0"/>
          <w:marTop w:val="0"/>
          <w:marBottom w:val="0"/>
          <w:divBdr>
            <w:top w:val="none" w:sz="0" w:space="0" w:color="auto"/>
            <w:left w:val="none" w:sz="0" w:space="0" w:color="auto"/>
            <w:bottom w:val="none" w:sz="0" w:space="0" w:color="auto"/>
            <w:right w:val="none" w:sz="0" w:space="0" w:color="auto"/>
          </w:divBdr>
        </w:div>
      </w:divsChild>
    </w:div>
    <w:div w:id="1165362662">
      <w:bodyDiv w:val="1"/>
      <w:marLeft w:val="0"/>
      <w:marRight w:val="0"/>
      <w:marTop w:val="0"/>
      <w:marBottom w:val="0"/>
      <w:divBdr>
        <w:top w:val="none" w:sz="0" w:space="0" w:color="auto"/>
        <w:left w:val="none" w:sz="0" w:space="0" w:color="auto"/>
        <w:bottom w:val="none" w:sz="0" w:space="0" w:color="auto"/>
        <w:right w:val="none" w:sz="0" w:space="0" w:color="auto"/>
      </w:divBdr>
      <w:divsChild>
        <w:div w:id="2089381287">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3589822">
      <w:bodyDiv w:val="1"/>
      <w:marLeft w:val="0"/>
      <w:marRight w:val="0"/>
      <w:marTop w:val="0"/>
      <w:marBottom w:val="0"/>
      <w:divBdr>
        <w:top w:val="none" w:sz="0" w:space="0" w:color="auto"/>
        <w:left w:val="none" w:sz="0" w:space="0" w:color="auto"/>
        <w:bottom w:val="none" w:sz="0" w:space="0" w:color="auto"/>
        <w:right w:val="none" w:sz="0" w:space="0" w:color="auto"/>
      </w:divBdr>
      <w:divsChild>
        <w:div w:id="666445165">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1338006">
      <w:bodyDiv w:val="1"/>
      <w:marLeft w:val="0"/>
      <w:marRight w:val="0"/>
      <w:marTop w:val="0"/>
      <w:marBottom w:val="0"/>
      <w:divBdr>
        <w:top w:val="none" w:sz="0" w:space="0" w:color="auto"/>
        <w:left w:val="none" w:sz="0" w:space="0" w:color="auto"/>
        <w:bottom w:val="none" w:sz="0" w:space="0" w:color="auto"/>
        <w:right w:val="none" w:sz="0" w:space="0" w:color="auto"/>
      </w:divBdr>
      <w:divsChild>
        <w:div w:id="2124417103">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278366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0">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6888634">
      <w:bodyDiv w:val="1"/>
      <w:marLeft w:val="0"/>
      <w:marRight w:val="0"/>
      <w:marTop w:val="0"/>
      <w:marBottom w:val="0"/>
      <w:divBdr>
        <w:top w:val="none" w:sz="0" w:space="0" w:color="auto"/>
        <w:left w:val="none" w:sz="0" w:space="0" w:color="auto"/>
        <w:bottom w:val="none" w:sz="0" w:space="0" w:color="auto"/>
        <w:right w:val="none" w:sz="0" w:space="0" w:color="auto"/>
      </w:divBdr>
      <w:divsChild>
        <w:div w:id="2045590627">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3393523">
      <w:bodyDiv w:val="1"/>
      <w:marLeft w:val="0"/>
      <w:marRight w:val="0"/>
      <w:marTop w:val="0"/>
      <w:marBottom w:val="0"/>
      <w:divBdr>
        <w:top w:val="none" w:sz="0" w:space="0" w:color="auto"/>
        <w:left w:val="none" w:sz="0" w:space="0" w:color="auto"/>
        <w:bottom w:val="none" w:sz="0" w:space="0" w:color="auto"/>
        <w:right w:val="none" w:sz="0" w:space="0" w:color="auto"/>
      </w:divBdr>
      <w:divsChild>
        <w:div w:id="282926651">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06206124">
      <w:bodyDiv w:val="1"/>
      <w:marLeft w:val="0"/>
      <w:marRight w:val="0"/>
      <w:marTop w:val="0"/>
      <w:marBottom w:val="0"/>
      <w:divBdr>
        <w:top w:val="none" w:sz="0" w:space="0" w:color="auto"/>
        <w:left w:val="none" w:sz="0" w:space="0" w:color="auto"/>
        <w:bottom w:val="none" w:sz="0" w:space="0" w:color="auto"/>
        <w:right w:val="none" w:sz="0" w:space="0" w:color="auto"/>
      </w:divBdr>
      <w:divsChild>
        <w:div w:id="159563219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7781616">
      <w:bodyDiv w:val="1"/>
      <w:marLeft w:val="0"/>
      <w:marRight w:val="0"/>
      <w:marTop w:val="0"/>
      <w:marBottom w:val="0"/>
      <w:divBdr>
        <w:top w:val="none" w:sz="0" w:space="0" w:color="auto"/>
        <w:left w:val="none" w:sz="0" w:space="0" w:color="auto"/>
        <w:bottom w:val="none" w:sz="0" w:space="0" w:color="auto"/>
        <w:right w:val="none" w:sz="0" w:space="0" w:color="auto"/>
      </w:divBdr>
      <w:divsChild>
        <w:div w:id="1606771384">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019758">
      <w:bodyDiv w:val="1"/>
      <w:marLeft w:val="0"/>
      <w:marRight w:val="0"/>
      <w:marTop w:val="0"/>
      <w:marBottom w:val="0"/>
      <w:divBdr>
        <w:top w:val="none" w:sz="0" w:space="0" w:color="auto"/>
        <w:left w:val="none" w:sz="0" w:space="0" w:color="auto"/>
        <w:bottom w:val="none" w:sz="0" w:space="0" w:color="auto"/>
        <w:right w:val="none" w:sz="0" w:space="0" w:color="auto"/>
      </w:divBdr>
      <w:divsChild>
        <w:div w:id="1526480425">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39963818">
      <w:bodyDiv w:val="1"/>
      <w:marLeft w:val="0"/>
      <w:marRight w:val="0"/>
      <w:marTop w:val="0"/>
      <w:marBottom w:val="0"/>
      <w:divBdr>
        <w:top w:val="none" w:sz="0" w:space="0" w:color="auto"/>
        <w:left w:val="none" w:sz="0" w:space="0" w:color="auto"/>
        <w:bottom w:val="none" w:sz="0" w:space="0" w:color="auto"/>
        <w:right w:val="none" w:sz="0" w:space="0" w:color="auto"/>
      </w:divBdr>
      <w:divsChild>
        <w:div w:id="1434012242">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4020753">
      <w:bodyDiv w:val="1"/>
      <w:marLeft w:val="0"/>
      <w:marRight w:val="0"/>
      <w:marTop w:val="0"/>
      <w:marBottom w:val="0"/>
      <w:divBdr>
        <w:top w:val="none" w:sz="0" w:space="0" w:color="auto"/>
        <w:left w:val="none" w:sz="0" w:space="0" w:color="auto"/>
        <w:bottom w:val="none" w:sz="0" w:space="0" w:color="auto"/>
        <w:right w:val="none" w:sz="0" w:space="0" w:color="auto"/>
      </w:divBdr>
      <w:divsChild>
        <w:div w:id="933392157">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3212943">
      <w:bodyDiv w:val="1"/>
      <w:marLeft w:val="0"/>
      <w:marRight w:val="0"/>
      <w:marTop w:val="0"/>
      <w:marBottom w:val="0"/>
      <w:divBdr>
        <w:top w:val="none" w:sz="0" w:space="0" w:color="auto"/>
        <w:left w:val="none" w:sz="0" w:space="0" w:color="auto"/>
        <w:bottom w:val="none" w:sz="0" w:space="0" w:color="auto"/>
        <w:right w:val="none" w:sz="0" w:space="0" w:color="auto"/>
      </w:divBdr>
      <w:divsChild>
        <w:div w:id="983050799">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0996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701">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1388640">
      <w:bodyDiv w:val="1"/>
      <w:marLeft w:val="0"/>
      <w:marRight w:val="0"/>
      <w:marTop w:val="0"/>
      <w:marBottom w:val="0"/>
      <w:divBdr>
        <w:top w:val="none" w:sz="0" w:space="0" w:color="auto"/>
        <w:left w:val="none" w:sz="0" w:space="0" w:color="auto"/>
        <w:bottom w:val="none" w:sz="0" w:space="0" w:color="auto"/>
        <w:right w:val="none" w:sz="0" w:space="0" w:color="auto"/>
      </w:divBdr>
      <w:divsChild>
        <w:div w:id="981928292">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28694595">
      <w:bodyDiv w:val="1"/>
      <w:marLeft w:val="0"/>
      <w:marRight w:val="0"/>
      <w:marTop w:val="0"/>
      <w:marBottom w:val="0"/>
      <w:divBdr>
        <w:top w:val="none" w:sz="0" w:space="0" w:color="auto"/>
        <w:left w:val="none" w:sz="0" w:space="0" w:color="auto"/>
        <w:bottom w:val="none" w:sz="0" w:space="0" w:color="auto"/>
        <w:right w:val="none" w:sz="0" w:space="0" w:color="auto"/>
      </w:divBdr>
      <w:divsChild>
        <w:div w:id="1800830433">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0079724">
      <w:bodyDiv w:val="1"/>
      <w:marLeft w:val="0"/>
      <w:marRight w:val="0"/>
      <w:marTop w:val="0"/>
      <w:marBottom w:val="0"/>
      <w:divBdr>
        <w:top w:val="none" w:sz="0" w:space="0" w:color="auto"/>
        <w:left w:val="none" w:sz="0" w:space="0" w:color="auto"/>
        <w:bottom w:val="none" w:sz="0" w:space="0" w:color="auto"/>
        <w:right w:val="none" w:sz="0" w:space="0" w:color="auto"/>
      </w:divBdr>
      <w:divsChild>
        <w:div w:id="1546721958">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1436109">
      <w:bodyDiv w:val="1"/>
      <w:marLeft w:val="0"/>
      <w:marRight w:val="0"/>
      <w:marTop w:val="0"/>
      <w:marBottom w:val="0"/>
      <w:divBdr>
        <w:top w:val="none" w:sz="0" w:space="0" w:color="auto"/>
        <w:left w:val="none" w:sz="0" w:space="0" w:color="auto"/>
        <w:bottom w:val="none" w:sz="0" w:space="0" w:color="auto"/>
        <w:right w:val="none" w:sz="0" w:space="0" w:color="auto"/>
      </w:divBdr>
      <w:divsChild>
        <w:div w:id="1643148629">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3210760">
      <w:bodyDiv w:val="1"/>
      <w:marLeft w:val="0"/>
      <w:marRight w:val="0"/>
      <w:marTop w:val="0"/>
      <w:marBottom w:val="0"/>
      <w:divBdr>
        <w:top w:val="none" w:sz="0" w:space="0" w:color="auto"/>
        <w:left w:val="none" w:sz="0" w:space="0" w:color="auto"/>
        <w:bottom w:val="none" w:sz="0" w:space="0" w:color="auto"/>
        <w:right w:val="none" w:sz="0" w:space="0" w:color="auto"/>
      </w:divBdr>
      <w:divsChild>
        <w:div w:id="1463768546">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6319274">
      <w:bodyDiv w:val="1"/>
      <w:marLeft w:val="0"/>
      <w:marRight w:val="0"/>
      <w:marTop w:val="0"/>
      <w:marBottom w:val="0"/>
      <w:divBdr>
        <w:top w:val="none" w:sz="0" w:space="0" w:color="auto"/>
        <w:left w:val="none" w:sz="0" w:space="0" w:color="auto"/>
        <w:bottom w:val="none" w:sz="0" w:space="0" w:color="auto"/>
        <w:right w:val="none" w:sz="0" w:space="0" w:color="auto"/>
      </w:divBdr>
      <w:divsChild>
        <w:div w:id="470945745">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579782">
      <w:bodyDiv w:val="1"/>
      <w:marLeft w:val="0"/>
      <w:marRight w:val="0"/>
      <w:marTop w:val="0"/>
      <w:marBottom w:val="0"/>
      <w:divBdr>
        <w:top w:val="none" w:sz="0" w:space="0" w:color="auto"/>
        <w:left w:val="none" w:sz="0" w:space="0" w:color="auto"/>
        <w:bottom w:val="none" w:sz="0" w:space="0" w:color="auto"/>
        <w:right w:val="none" w:sz="0" w:space="0" w:color="auto"/>
      </w:divBdr>
      <w:divsChild>
        <w:div w:id="671108144">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49564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3254">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1939605">
      <w:bodyDiv w:val="1"/>
      <w:marLeft w:val="0"/>
      <w:marRight w:val="0"/>
      <w:marTop w:val="0"/>
      <w:marBottom w:val="0"/>
      <w:divBdr>
        <w:top w:val="none" w:sz="0" w:space="0" w:color="auto"/>
        <w:left w:val="none" w:sz="0" w:space="0" w:color="auto"/>
        <w:bottom w:val="none" w:sz="0" w:space="0" w:color="auto"/>
        <w:right w:val="none" w:sz="0" w:space="0" w:color="auto"/>
      </w:divBdr>
      <w:divsChild>
        <w:div w:id="2051606935">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87955314">
      <w:bodyDiv w:val="1"/>
      <w:marLeft w:val="0"/>
      <w:marRight w:val="0"/>
      <w:marTop w:val="0"/>
      <w:marBottom w:val="0"/>
      <w:divBdr>
        <w:top w:val="none" w:sz="0" w:space="0" w:color="auto"/>
        <w:left w:val="none" w:sz="0" w:space="0" w:color="auto"/>
        <w:bottom w:val="none" w:sz="0" w:space="0" w:color="auto"/>
        <w:right w:val="none" w:sz="0" w:space="0" w:color="auto"/>
      </w:divBdr>
      <w:divsChild>
        <w:div w:id="1773430483">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5242322">
      <w:bodyDiv w:val="1"/>
      <w:marLeft w:val="0"/>
      <w:marRight w:val="0"/>
      <w:marTop w:val="0"/>
      <w:marBottom w:val="0"/>
      <w:divBdr>
        <w:top w:val="none" w:sz="0" w:space="0" w:color="auto"/>
        <w:left w:val="none" w:sz="0" w:space="0" w:color="auto"/>
        <w:bottom w:val="none" w:sz="0" w:space="0" w:color="auto"/>
        <w:right w:val="none" w:sz="0" w:space="0" w:color="auto"/>
      </w:divBdr>
      <w:divsChild>
        <w:div w:id="1738437255">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0530887">
      <w:bodyDiv w:val="1"/>
      <w:marLeft w:val="0"/>
      <w:marRight w:val="0"/>
      <w:marTop w:val="0"/>
      <w:marBottom w:val="0"/>
      <w:divBdr>
        <w:top w:val="none" w:sz="0" w:space="0" w:color="auto"/>
        <w:left w:val="none" w:sz="0" w:space="0" w:color="auto"/>
        <w:bottom w:val="none" w:sz="0" w:space="0" w:color="auto"/>
        <w:right w:val="none" w:sz="0" w:space="0" w:color="auto"/>
      </w:divBdr>
      <w:divsChild>
        <w:div w:id="552694704">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1978799">
      <w:bodyDiv w:val="1"/>
      <w:marLeft w:val="0"/>
      <w:marRight w:val="0"/>
      <w:marTop w:val="0"/>
      <w:marBottom w:val="0"/>
      <w:divBdr>
        <w:top w:val="none" w:sz="0" w:space="0" w:color="auto"/>
        <w:left w:val="none" w:sz="0" w:space="0" w:color="auto"/>
        <w:bottom w:val="none" w:sz="0" w:space="0" w:color="auto"/>
        <w:right w:val="none" w:sz="0" w:space="0" w:color="auto"/>
      </w:divBdr>
      <w:divsChild>
        <w:div w:id="829561804">
          <w:marLeft w:val="0"/>
          <w:marRight w:val="0"/>
          <w:marTop w:val="0"/>
          <w:marBottom w:val="0"/>
          <w:divBdr>
            <w:top w:val="none" w:sz="0" w:space="0" w:color="auto"/>
            <w:left w:val="none" w:sz="0" w:space="0" w:color="auto"/>
            <w:bottom w:val="none" w:sz="0" w:space="0" w:color="auto"/>
            <w:right w:val="none" w:sz="0" w:space="0" w:color="auto"/>
          </w:divBdr>
        </w:div>
      </w:divsChild>
    </w:div>
    <w:div w:id="1652053270">
      <w:bodyDiv w:val="1"/>
      <w:marLeft w:val="0"/>
      <w:marRight w:val="0"/>
      <w:marTop w:val="0"/>
      <w:marBottom w:val="0"/>
      <w:divBdr>
        <w:top w:val="none" w:sz="0" w:space="0" w:color="auto"/>
        <w:left w:val="none" w:sz="0" w:space="0" w:color="auto"/>
        <w:bottom w:val="none" w:sz="0" w:space="0" w:color="auto"/>
        <w:right w:val="none" w:sz="0" w:space="0" w:color="auto"/>
      </w:divBdr>
      <w:divsChild>
        <w:div w:id="1578591552">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7340142">
      <w:bodyDiv w:val="1"/>
      <w:marLeft w:val="0"/>
      <w:marRight w:val="0"/>
      <w:marTop w:val="0"/>
      <w:marBottom w:val="0"/>
      <w:divBdr>
        <w:top w:val="none" w:sz="0" w:space="0" w:color="auto"/>
        <w:left w:val="none" w:sz="0" w:space="0" w:color="auto"/>
        <w:bottom w:val="none" w:sz="0" w:space="0" w:color="auto"/>
        <w:right w:val="none" w:sz="0" w:space="0" w:color="auto"/>
      </w:divBdr>
      <w:divsChild>
        <w:div w:id="31472863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3471904">
      <w:bodyDiv w:val="1"/>
      <w:marLeft w:val="0"/>
      <w:marRight w:val="0"/>
      <w:marTop w:val="0"/>
      <w:marBottom w:val="0"/>
      <w:divBdr>
        <w:top w:val="none" w:sz="0" w:space="0" w:color="auto"/>
        <w:left w:val="none" w:sz="0" w:space="0" w:color="auto"/>
        <w:bottom w:val="none" w:sz="0" w:space="0" w:color="auto"/>
        <w:right w:val="none" w:sz="0" w:space="0" w:color="auto"/>
      </w:divBdr>
      <w:divsChild>
        <w:div w:id="264315622">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1625529">
      <w:bodyDiv w:val="1"/>
      <w:marLeft w:val="0"/>
      <w:marRight w:val="0"/>
      <w:marTop w:val="0"/>
      <w:marBottom w:val="0"/>
      <w:divBdr>
        <w:top w:val="none" w:sz="0" w:space="0" w:color="auto"/>
        <w:left w:val="none" w:sz="0" w:space="0" w:color="auto"/>
        <w:bottom w:val="none" w:sz="0" w:space="0" w:color="auto"/>
        <w:right w:val="none" w:sz="0" w:space="0" w:color="auto"/>
      </w:divBdr>
      <w:divsChild>
        <w:div w:id="64142044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0591688">
      <w:bodyDiv w:val="1"/>
      <w:marLeft w:val="0"/>
      <w:marRight w:val="0"/>
      <w:marTop w:val="0"/>
      <w:marBottom w:val="0"/>
      <w:divBdr>
        <w:top w:val="none" w:sz="0" w:space="0" w:color="auto"/>
        <w:left w:val="none" w:sz="0" w:space="0" w:color="auto"/>
        <w:bottom w:val="none" w:sz="0" w:space="0" w:color="auto"/>
        <w:right w:val="none" w:sz="0" w:space="0" w:color="auto"/>
      </w:divBdr>
      <w:divsChild>
        <w:div w:id="471860">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8328185">
      <w:bodyDiv w:val="1"/>
      <w:marLeft w:val="0"/>
      <w:marRight w:val="0"/>
      <w:marTop w:val="0"/>
      <w:marBottom w:val="0"/>
      <w:divBdr>
        <w:top w:val="none" w:sz="0" w:space="0" w:color="auto"/>
        <w:left w:val="none" w:sz="0" w:space="0" w:color="auto"/>
        <w:bottom w:val="none" w:sz="0" w:space="0" w:color="auto"/>
        <w:right w:val="none" w:sz="0" w:space="0" w:color="auto"/>
      </w:divBdr>
      <w:divsChild>
        <w:div w:id="579367717">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4645026">
      <w:bodyDiv w:val="1"/>
      <w:marLeft w:val="0"/>
      <w:marRight w:val="0"/>
      <w:marTop w:val="0"/>
      <w:marBottom w:val="0"/>
      <w:divBdr>
        <w:top w:val="none" w:sz="0" w:space="0" w:color="auto"/>
        <w:left w:val="none" w:sz="0" w:space="0" w:color="auto"/>
        <w:bottom w:val="none" w:sz="0" w:space="0" w:color="auto"/>
        <w:right w:val="none" w:sz="0" w:space="0" w:color="auto"/>
      </w:divBdr>
      <w:divsChild>
        <w:div w:id="440102639">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18128016">
      <w:bodyDiv w:val="1"/>
      <w:marLeft w:val="0"/>
      <w:marRight w:val="0"/>
      <w:marTop w:val="0"/>
      <w:marBottom w:val="0"/>
      <w:divBdr>
        <w:top w:val="none" w:sz="0" w:space="0" w:color="auto"/>
        <w:left w:val="none" w:sz="0" w:space="0" w:color="auto"/>
        <w:bottom w:val="none" w:sz="0" w:space="0" w:color="auto"/>
        <w:right w:val="none" w:sz="0" w:space="0" w:color="auto"/>
      </w:divBdr>
      <w:divsChild>
        <w:div w:id="44376032">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7695560">
      <w:bodyDiv w:val="1"/>
      <w:marLeft w:val="0"/>
      <w:marRight w:val="0"/>
      <w:marTop w:val="0"/>
      <w:marBottom w:val="0"/>
      <w:divBdr>
        <w:top w:val="none" w:sz="0" w:space="0" w:color="auto"/>
        <w:left w:val="none" w:sz="0" w:space="0" w:color="auto"/>
        <w:bottom w:val="none" w:sz="0" w:space="0" w:color="auto"/>
        <w:right w:val="none" w:sz="0" w:space="0" w:color="auto"/>
      </w:divBdr>
      <w:divsChild>
        <w:div w:id="1002583073">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4137185">
      <w:bodyDiv w:val="1"/>
      <w:marLeft w:val="0"/>
      <w:marRight w:val="0"/>
      <w:marTop w:val="0"/>
      <w:marBottom w:val="0"/>
      <w:divBdr>
        <w:top w:val="none" w:sz="0" w:space="0" w:color="auto"/>
        <w:left w:val="none" w:sz="0" w:space="0" w:color="auto"/>
        <w:bottom w:val="none" w:sz="0" w:space="0" w:color="auto"/>
        <w:right w:val="none" w:sz="0" w:space="0" w:color="auto"/>
      </w:divBdr>
      <w:divsChild>
        <w:div w:id="1449735425">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0278373">
      <w:bodyDiv w:val="1"/>
      <w:marLeft w:val="0"/>
      <w:marRight w:val="0"/>
      <w:marTop w:val="0"/>
      <w:marBottom w:val="0"/>
      <w:divBdr>
        <w:top w:val="none" w:sz="0" w:space="0" w:color="auto"/>
        <w:left w:val="none" w:sz="0" w:space="0" w:color="auto"/>
        <w:bottom w:val="none" w:sz="0" w:space="0" w:color="auto"/>
        <w:right w:val="none" w:sz="0" w:space="0" w:color="auto"/>
      </w:divBdr>
      <w:divsChild>
        <w:div w:id="705325560">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0561925">
      <w:bodyDiv w:val="1"/>
      <w:marLeft w:val="0"/>
      <w:marRight w:val="0"/>
      <w:marTop w:val="0"/>
      <w:marBottom w:val="0"/>
      <w:divBdr>
        <w:top w:val="none" w:sz="0" w:space="0" w:color="auto"/>
        <w:left w:val="none" w:sz="0" w:space="0" w:color="auto"/>
        <w:bottom w:val="none" w:sz="0" w:space="0" w:color="auto"/>
        <w:right w:val="none" w:sz="0" w:space="0" w:color="auto"/>
      </w:divBdr>
      <w:divsChild>
        <w:div w:id="556009649">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B624-F4FF-4885-8135-297F1AC3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1</Pages>
  <Words>1432</Words>
  <Characters>8168</Characters>
  <Application>Microsoft Office Word</Application>
  <DocSecurity>0</DocSecurity>
  <PresentationFormat/>
  <Lines>68</Lines>
  <Paragraphs>19</Paragraphs>
  <Slides>0</Slides>
  <Notes>0</Notes>
  <HiddenSlides>0</HiddenSlides>
  <MMClips>0</MMClips>
  <ScaleCrop>false</ScaleCrop>
  <Company>pp</Company>
  <LinksUpToDate>false</LinksUpToDate>
  <CharactersWithSpaces>9581</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473</cp:revision>
  <cp:lastPrinted>2013-11-19T00:40:00Z</cp:lastPrinted>
  <dcterms:created xsi:type="dcterms:W3CDTF">2016-06-24T01:32:00Z</dcterms:created>
  <dcterms:modified xsi:type="dcterms:W3CDTF">2017-11-21T01:30:00Z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